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1E" w:rsidRDefault="00702909">
      <w:pPr>
        <w:spacing w:line="360" w:lineRule="auto"/>
        <w:ind w:firstLineChars="200" w:firstLine="640"/>
        <w:jc w:val="center"/>
        <w:rPr>
          <w:rFonts w:ascii="仿宋" w:eastAsia="仿宋" w:hAnsi="仿宋"/>
          <w:sz w:val="32"/>
          <w:szCs w:val="32"/>
        </w:rPr>
      </w:pPr>
      <w:r>
        <w:rPr>
          <w:rFonts w:ascii="仿宋" w:eastAsia="仿宋" w:hAnsi="仿宋"/>
          <w:sz w:val="32"/>
          <w:szCs w:val="32"/>
        </w:rPr>
        <w:t>经济学院研究生学业奖学金管理办法</w:t>
      </w:r>
    </w:p>
    <w:p w:rsidR="0031351E" w:rsidRDefault="00702909">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hint="eastAsia"/>
          <w:sz w:val="23"/>
          <w:szCs w:val="23"/>
          <w:highlight w:val="yellow"/>
        </w:rPr>
        <w:t>201</w:t>
      </w:r>
      <w:r>
        <w:rPr>
          <w:rFonts w:ascii="Times New Roman" w:hAnsi="Times New Roman" w:cs="Times New Roman" w:hint="eastAsia"/>
          <w:sz w:val="23"/>
          <w:szCs w:val="23"/>
          <w:highlight w:val="yellow"/>
        </w:rPr>
        <w:t>9</w:t>
      </w:r>
      <w:r>
        <w:rPr>
          <w:rFonts w:ascii="Times New Roman" w:hAnsi="Times New Roman" w:cs="Times New Roman" w:hint="eastAsia"/>
          <w:sz w:val="23"/>
          <w:szCs w:val="23"/>
          <w:highlight w:val="yellow"/>
        </w:rPr>
        <w:t>年</w:t>
      </w:r>
      <w:r>
        <w:rPr>
          <w:rFonts w:ascii="Times New Roman" w:hAnsi="Times New Roman" w:cs="Times New Roman" w:hint="eastAsia"/>
          <w:sz w:val="23"/>
          <w:szCs w:val="23"/>
          <w:highlight w:val="yellow"/>
        </w:rPr>
        <w:t>11</w:t>
      </w:r>
      <w:r>
        <w:rPr>
          <w:rFonts w:ascii="Times New Roman" w:hAnsi="Times New Roman" w:cs="Times New Roman" w:hint="eastAsia"/>
          <w:sz w:val="23"/>
          <w:szCs w:val="23"/>
          <w:highlight w:val="yellow"/>
        </w:rPr>
        <w:t>月</w:t>
      </w:r>
      <w:r>
        <w:rPr>
          <w:rFonts w:ascii="Times New Roman" w:hAnsi="Times New Roman" w:cs="Times New Roman"/>
          <w:sz w:val="23"/>
          <w:szCs w:val="23"/>
        </w:rPr>
        <w:t>修订稿</w:t>
      </w:r>
      <w:r>
        <w:rPr>
          <w:rFonts w:ascii="Times New Roman" w:hAnsi="Times New Roman" w:cs="Times New Roman" w:hint="eastAsia"/>
          <w:sz w:val="23"/>
          <w:szCs w:val="23"/>
        </w:rPr>
        <w:t>）</w:t>
      </w:r>
    </w:p>
    <w:p w:rsidR="0031351E" w:rsidRDefault="0031351E">
      <w:pPr>
        <w:pStyle w:val="Default"/>
        <w:jc w:val="center"/>
        <w:rPr>
          <w:rFonts w:ascii="Times New Roman" w:hAnsi="Times New Roman" w:cs="Times New Roman"/>
          <w:sz w:val="23"/>
          <w:szCs w:val="23"/>
        </w:rPr>
      </w:pPr>
    </w:p>
    <w:p w:rsidR="0031351E" w:rsidRDefault="00702909">
      <w:pPr>
        <w:spacing w:line="360" w:lineRule="auto"/>
        <w:jc w:val="center"/>
        <w:rPr>
          <w:rFonts w:ascii="仿宋" w:eastAsia="仿宋" w:hAnsi="仿宋"/>
          <w:sz w:val="28"/>
          <w:szCs w:val="28"/>
        </w:rPr>
      </w:pPr>
      <w:r>
        <w:rPr>
          <w:rFonts w:ascii="仿宋" w:eastAsia="仿宋" w:hAnsi="仿宋"/>
          <w:sz w:val="28"/>
          <w:szCs w:val="28"/>
        </w:rPr>
        <w:t>第一章</w:t>
      </w:r>
      <w:r>
        <w:rPr>
          <w:rFonts w:ascii="仿宋" w:eastAsia="仿宋" w:hAnsi="仿宋"/>
          <w:sz w:val="28"/>
          <w:szCs w:val="28"/>
        </w:rPr>
        <w:t xml:space="preserve"> </w:t>
      </w:r>
      <w:r>
        <w:rPr>
          <w:rFonts w:ascii="仿宋" w:eastAsia="仿宋" w:hAnsi="仿宋"/>
          <w:sz w:val="28"/>
          <w:szCs w:val="28"/>
        </w:rPr>
        <w:t>总</w:t>
      </w:r>
      <w:r>
        <w:rPr>
          <w:rFonts w:ascii="仿宋" w:eastAsia="仿宋" w:hAnsi="仿宋"/>
          <w:sz w:val="28"/>
          <w:szCs w:val="28"/>
        </w:rPr>
        <w:t xml:space="preserve"> </w:t>
      </w:r>
      <w:r>
        <w:rPr>
          <w:rFonts w:ascii="仿宋" w:eastAsia="仿宋" w:hAnsi="仿宋"/>
          <w:sz w:val="28"/>
          <w:szCs w:val="28"/>
        </w:rPr>
        <w:t>则</w:t>
      </w:r>
    </w:p>
    <w:p w:rsidR="0031351E" w:rsidRDefault="00702909">
      <w:pPr>
        <w:spacing w:line="360" w:lineRule="auto"/>
        <w:ind w:firstLineChars="200" w:firstLine="480"/>
        <w:rPr>
          <w:rFonts w:ascii="仿宋" w:eastAsia="仿宋" w:hAnsi="仿宋"/>
          <w:sz w:val="24"/>
        </w:rPr>
      </w:pPr>
      <w:r>
        <w:rPr>
          <w:rFonts w:ascii="仿宋" w:eastAsia="仿宋" w:hAnsi="仿宋"/>
          <w:sz w:val="24"/>
        </w:rPr>
        <w:t>第一条</w:t>
      </w:r>
      <w:r>
        <w:rPr>
          <w:rFonts w:ascii="仿宋" w:eastAsia="仿宋" w:hAnsi="仿宋"/>
          <w:sz w:val="24"/>
        </w:rPr>
        <w:t xml:space="preserve"> </w:t>
      </w:r>
      <w:r>
        <w:rPr>
          <w:rFonts w:ascii="仿宋" w:eastAsia="仿宋" w:hAnsi="仿宋"/>
          <w:sz w:val="24"/>
        </w:rPr>
        <w:t>为提高研究生培养质量，促进创新人才培养，激励研究生潜心学术研究，奖励支持表现良好的研究生更好地完成学业，根据财政部、国家发展改革委员会、教育部《关于完善研究生教育投入机制的意见》</w:t>
      </w:r>
      <w:r>
        <w:rPr>
          <w:rFonts w:ascii="仿宋" w:eastAsia="仿宋" w:hAnsi="仿宋"/>
          <w:sz w:val="24"/>
        </w:rPr>
        <w:t>(</w:t>
      </w:r>
      <w:proofErr w:type="gramStart"/>
      <w:r>
        <w:rPr>
          <w:rFonts w:ascii="仿宋" w:eastAsia="仿宋" w:hAnsi="仿宋"/>
          <w:sz w:val="24"/>
        </w:rPr>
        <w:t>财教</w:t>
      </w:r>
      <w:proofErr w:type="gramEnd"/>
      <w:r>
        <w:rPr>
          <w:rFonts w:ascii="仿宋" w:eastAsia="仿宋" w:hAnsi="仿宋"/>
          <w:sz w:val="24"/>
        </w:rPr>
        <w:t>[2013]19</w:t>
      </w:r>
      <w:r>
        <w:rPr>
          <w:rFonts w:ascii="仿宋" w:eastAsia="仿宋" w:hAnsi="仿宋"/>
          <w:sz w:val="24"/>
        </w:rPr>
        <w:t>号</w:t>
      </w:r>
      <w:r>
        <w:rPr>
          <w:rFonts w:ascii="仿宋" w:eastAsia="仿宋" w:hAnsi="仿宋"/>
          <w:sz w:val="24"/>
        </w:rPr>
        <w:t>)</w:t>
      </w:r>
      <w:r>
        <w:rPr>
          <w:rFonts w:ascii="仿宋" w:eastAsia="仿宋" w:hAnsi="仿宋"/>
          <w:sz w:val="24"/>
        </w:rPr>
        <w:t>，财政部、教育部《关于印发</w:t>
      </w:r>
      <w:r>
        <w:rPr>
          <w:rFonts w:ascii="仿宋" w:eastAsia="仿宋" w:hAnsi="仿宋"/>
          <w:sz w:val="24"/>
        </w:rPr>
        <w:t>&lt;</w:t>
      </w:r>
      <w:r>
        <w:rPr>
          <w:rFonts w:ascii="仿宋" w:eastAsia="仿宋" w:hAnsi="仿宋"/>
          <w:sz w:val="24"/>
        </w:rPr>
        <w:t>研究生学业奖学金管理暂行办法</w:t>
      </w:r>
      <w:r>
        <w:rPr>
          <w:rFonts w:ascii="仿宋" w:eastAsia="仿宋" w:hAnsi="仿宋"/>
          <w:sz w:val="24"/>
        </w:rPr>
        <w:t>&gt;</w:t>
      </w:r>
      <w:r>
        <w:rPr>
          <w:rFonts w:ascii="仿宋" w:eastAsia="仿宋" w:hAnsi="仿宋"/>
          <w:sz w:val="24"/>
        </w:rPr>
        <w:t>的通知》（</w:t>
      </w:r>
      <w:proofErr w:type="gramStart"/>
      <w:r>
        <w:rPr>
          <w:rFonts w:ascii="仿宋" w:eastAsia="仿宋" w:hAnsi="仿宋"/>
          <w:sz w:val="24"/>
        </w:rPr>
        <w:t>财教</w:t>
      </w:r>
      <w:proofErr w:type="gramEnd"/>
      <w:r>
        <w:rPr>
          <w:rFonts w:ascii="仿宋" w:eastAsia="仿宋" w:hAnsi="仿宋"/>
          <w:sz w:val="24"/>
        </w:rPr>
        <w:t>[2013]219</w:t>
      </w:r>
      <w:r>
        <w:rPr>
          <w:rFonts w:ascii="仿宋" w:eastAsia="仿宋" w:hAnsi="仿宋"/>
          <w:sz w:val="24"/>
        </w:rPr>
        <w:t>号）、《关于印发</w:t>
      </w:r>
      <w:r>
        <w:rPr>
          <w:rFonts w:ascii="仿宋" w:eastAsia="仿宋" w:hAnsi="仿宋"/>
          <w:sz w:val="24"/>
        </w:rPr>
        <w:t>&lt;</w:t>
      </w:r>
      <w:r>
        <w:rPr>
          <w:rFonts w:ascii="仿宋" w:eastAsia="仿宋" w:hAnsi="仿宋"/>
          <w:sz w:val="24"/>
        </w:rPr>
        <w:t>研究生国家助学金管理暂行办法</w:t>
      </w:r>
      <w:r>
        <w:rPr>
          <w:rFonts w:ascii="仿宋" w:eastAsia="仿宋" w:hAnsi="仿宋"/>
          <w:sz w:val="24"/>
        </w:rPr>
        <w:t>&gt;</w:t>
      </w:r>
      <w:r>
        <w:rPr>
          <w:rFonts w:ascii="仿宋" w:eastAsia="仿宋" w:hAnsi="仿宋"/>
          <w:sz w:val="24"/>
        </w:rPr>
        <w:t>的通知》（</w:t>
      </w:r>
      <w:proofErr w:type="gramStart"/>
      <w:r>
        <w:rPr>
          <w:rFonts w:ascii="仿宋" w:eastAsia="仿宋" w:hAnsi="仿宋"/>
          <w:sz w:val="24"/>
        </w:rPr>
        <w:t>财教</w:t>
      </w:r>
      <w:proofErr w:type="gramEnd"/>
      <w:r>
        <w:rPr>
          <w:rFonts w:ascii="仿宋" w:eastAsia="仿宋" w:hAnsi="仿宋"/>
          <w:sz w:val="24"/>
        </w:rPr>
        <w:t>[2013]220</w:t>
      </w:r>
      <w:r>
        <w:rPr>
          <w:rFonts w:ascii="仿宋" w:eastAsia="仿宋" w:hAnsi="仿宋"/>
          <w:sz w:val="24"/>
        </w:rPr>
        <w:t>号）以及暨南大学关于印发《暨南大学研究生奖助学金体系改革试行办法》（暨</w:t>
      </w:r>
      <w:proofErr w:type="gramStart"/>
      <w:r>
        <w:rPr>
          <w:rFonts w:ascii="仿宋" w:eastAsia="仿宋" w:hAnsi="仿宋"/>
          <w:sz w:val="24"/>
        </w:rPr>
        <w:t>研</w:t>
      </w:r>
      <w:proofErr w:type="gramEnd"/>
      <w:r>
        <w:rPr>
          <w:rFonts w:ascii="仿宋" w:eastAsia="仿宋" w:hAnsi="仿宋"/>
          <w:sz w:val="24"/>
        </w:rPr>
        <w:t>[2014]37</w:t>
      </w:r>
      <w:r>
        <w:rPr>
          <w:rFonts w:ascii="仿宋" w:eastAsia="仿宋" w:hAnsi="仿宋"/>
          <w:sz w:val="24"/>
        </w:rPr>
        <w:t>号）的通知精神，结合我院的实际情况，特制订本办法。</w:t>
      </w:r>
    </w:p>
    <w:p w:rsidR="0031351E" w:rsidRDefault="00702909">
      <w:pPr>
        <w:spacing w:line="360" w:lineRule="auto"/>
        <w:ind w:firstLineChars="200" w:firstLine="480"/>
        <w:rPr>
          <w:rFonts w:ascii="仿宋" w:eastAsia="仿宋" w:hAnsi="仿宋"/>
          <w:sz w:val="24"/>
        </w:rPr>
      </w:pPr>
      <w:r>
        <w:rPr>
          <w:rFonts w:ascii="仿宋" w:eastAsia="仿宋" w:hAnsi="仿宋"/>
          <w:sz w:val="24"/>
        </w:rPr>
        <w:t>第二条</w:t>
      </w:r>
      <w:r>
        <w:rPr>
          <w:rFonts w:ascii="仿宋" w:eastAsia="仿宋" w:hAnsi="仿宋"/>
          <w:sz w:val="24"/>
        </w:rPr>
        <w:t xml:space="preserve"> </w:t>
      </w:r>
      <w:r>
        <w:rPr>
          <w:rFonts w:ascii="仿宋" w:eastAsia="仿宋" w:hAnsi="仿宋"/>
          <w:sz w:val="24"/>
        </w:rPr>
        <w:t>学院</w:t>
      </w:r>
      <w:r>
        <w:rPr>
          <w:rFonts w:ascii="仿宋" w:eastAsia="仿宋" w:hAnsi="仿宋" w:hint="eastAsia"/>
          <w:sz w:val="24"/>
        </w:rPr>
        <w:t>坚持公正、公平、公开、择优的原则，严格执行国家有关教育法规，</w:t>
      </w:r>
      <w:r>
        <w:rPr>
          <w:rFonts w:ascii="仿宋" w:eastAsia="仿宋" w:hAnsi="仿宋"/>
          <w:sz w:val="24"/>
        </w:rPr>
        <w:t>建立动态的、以提高培养质量为出发点的研究生学业奖学金评定体系，每学年评定一次。</w:t>
      </w:r>
    </w:p>
    <w:p w:rsidR="0031351E" w:rsidRDefault="00702909">
      <w:pPr>
        <w:spacing w:line="360" w:lineRule="auto"/>
        <w:ind w:firstLineChars="200" w:firstLine="480"/>
        <w:rPr>
          <w:rFonts w:ascii="仿宋" w:eastAsia="仿宋" w:hAnsi="仿宋"/>
          <w:sz w:val="24"/>
        </w:rPr>
      </w:pPr>
      <w:r>
        <w:rPr>
          <w:rFonts w:ascii="仿宋" w:eastAsia="仿宋" w:hAnsi="仿宋"/>
          <w:sz w:val="24"/>
        </w:rPr>
        <w:t>第三条</w:t>
      </w:r>
      <w:r>
        <w:rPr>
          <w:rFonts w:ascii="仿宋" w:eastAsia="仿宋" w:hAnsi="仿宋"/>
          <w:sz w:val="24"/>
        </w:rPr>
        <w:t xml:space="preserve"> </w:t>
      </w:r>
      <w:r>
        <w:rPr>
          <w:rFonts w:ascii="仿宋" w:eastAsia="仿宋" w:hAnsi="仿宋"/>
          <w:sz w:val="24"/>
        </w:rPr>
        <w:t>本办法的适用对象为纳入全国研究生招生计划的、具有中华人民共和国国籍、暨南大学学籍且在基本学制年限内的</w:t>
      </w:r>
      <w:r>
        <w:rPr>
          <w:rFonts w:ascii="仿宋" w:eastAsia="仿宋" w:hAnsi="仿宋"/>
          <w:sz w:val="24"/>
        </w:rPr>
        <w:t>2014</w:t>
      </w:r>
      <w:r>
        <w:rPr>
          <w:rFonts w:ascii="仿宋" w:eastAsia="仿宋" w:hAnsi="仿宋"/>
          <w:sz w:val="24"/>
        </w:rPr>
        <w:t>级及以后的全日制非定向研究生（含少数民族骨干</w:t>
      </w:r>
      <w:proofErr w:type="gramStart"/>
      <w:r>
        <w:rPr>
          <w:rFonts w:ascii="仿宋" w:eastAsia="仿宋" w:hAnsi="仿宋"/>
          <w:sz w:val="24"/>
        </w:rPr>
        <w:t>计划非</w:t>
      </w:r>
      <w:proofErr w:type="gramEnd"/>
      <w:r>
        <w:rPr>
          <w:rFonts w:ascii="仿宋" w:eastAsia="仿宋" w:hAnsi="仿宋"/>
          <w:sz w:val="24"/>
        </w:rPr>
        <w:t>在职定向就业研究生）。</w:t>
      </w:r>
    </w:p>
    <w:p w:rsidR="0031351E" w:rsidRDefault="0031351E">
      <w:pPr>
        <w:ind w:firstLine="420"/>
        <w:rPr>
          <w:rFonts w:ascii="Times New Roman" w:eastAsia="仿宋_GB2312" w:hAnsi="Times New Roman" w:cs="Times New Roman"/>
          <w:sz w:val="23"/>
          <w:szCs w:val="23"/>
        </w:rPr>
      </w:pPr>
    </w:p>
    <w:p w:rsidR="0031351E" w:rsidRDefault="00702909">
      <w:pPr>
        <w:spacing w:line="360" w:lineRule="auto"/>
        <w:jc w:val="center"/>
        <w:rPr>
          <w:rFonts w:ascii="仿宋" w:eastAsia="仿宋" w:hAnsi="仿宋"/>
          <w:sz w:val="28"/>
          <w:szCs w:val="28"/>
        </w:rPr>
      </w:pPr>
      <w:r>
        <w:rPr>
          <w:rFonts w:ascii="仿宋" w:eastAsia="仿宋" w:hAnsi="仿宋"/>
          <w:sz w:val="28"/>
          <w:szCs w:val="28"/>
        </w:rPr>
        <w:t>第二章</w:t>
      </w:r>
      <w:r>
        <w:rPr>
          <w:rFonts w:ascii="仿宋" w:eastAsia="仿宋" w:hAnsi="仿宋"/>
          <w:sz w:val="28"/>
          <w:szCs w:val="28"/>
        </w:rPr>
        <w:t xml:space="preserve"> </w:t>
      </w:r>
      <w:r>
        <w:rPr>
          <w:rFonts w:ascii="仿宋" w:eastAsia="仿宋" w:hAnsi="仿宋"/>
          <w:sz w:val="28"/>
          <w:szCs w:val="28"/>
        </w:rPr>
        <w:t>研究生奖助学金设置</w:t>
      </w:r>
      <w:r>
        <w:rPr>
          <w:rFonts w:ascii="仿宋" w:eastAsia="仿宋" w:hAnsi="仿宋" w:hint="eastAsia"/>
          <w:sz w:val="28"/>
          <w:szCs w:val="28"/>
        </w:rPr>
        <w:t>及评选条件</w:t>
      </w:r>
    </w:p>
    <w:p w:rsidR="0031351E" w:rsidRDefault="00702909">
      <w:pPr>
        <w:spacing w:line="360" w:lineRule="auto"/>
        <w:ind w:firstLineChars="200" w:firstLine="480"/>
        <w:rPr>
          <w:rFonts w:ascii="仿宋" w:eastAsia="仿宋" w:hAnsi="仿宋"/>
          <w:sz w:val="24"/>
        </w:rPr>
      </w:pPr>
      <w:r>
        <w:rPr>
          <w:rFonts w:ascii="仿宋" w:eastAsia="仿宋" w:hAnsi="仿宋"/>
          <w:sz w:val="24"/>
        </w:rPr>
        <w:t>第</w:t>
      </w:r>
      <w:r>
        <w:rPr>
          <w:rFonts w:ascii="仿宋" w:eastAsia="仿宋" w:hAnsi="仿宋" w:hint="eastAsia"/>
          <w:sz w:val="24"/>
        </w:rPr>
        <w:t>四</w:t>
      </w:r>
      <w:r>
        <w:rPr>
          <w:rFonts w:ascii="仿宋" w:eastAsia="仿宋" w:hAnsi="仿宋"/>
          <w:sz w:val="24"/>
        </w:rPr>
        <w:t>条</w:t>
      </w:r>
      <w:r>
        <w:rPr>
          <w:rFonts w:ascii="仿宋" w:eastAsia="仿宋" w:hAnsi="仿宋"/>
          <w:sz w:val="24"/>
        </w:rPr>
        <w:t xml:space="preserve"> </w:t>
      </w:r>
      <w:r>
        <w:rPr>
          <w:rFonts w:ascii="仿宋" w:eastAsia="仿宋" w:hAnsi="仿宋"/>
          <w:sz w:val="24"/>
        </w:rPr>
        <w:t>奖助学金学金设置</w:t>
      </w:r>
    </w:p>
    <w:p w:rsidR="0031351E" w:rsidRDefault="00702909">
      <w:pPr>
        <w:spacing w:line="360" w:lineRule="auto"/>
        <w:ind w:firstLineChars="200" w:firstLine="480"/>
        <w:rPr>
          <w:rFonts w:ascii="仿宋" w:eastAsia="仿宋" w:hAnsi="仿宋"/>
          <w:sz w:val="24"/>
        </w:rPr>
      </w:pPr>
      <w:r>
        <w:rPr>
          <w:rFonts w:ascii="仿宋" w:eastAsia="仿宋" w:hAnsi="仿宋"/>
          <w:sz w:val="24"/>
        </w:rPr>
        <w:t>（一）</w:t>
      </w:r>
      <w:proofErr w:type="gramStart"/>
      <w:r>
        <w:rPr>
          <w:rFonts w:ascii="仿宋" w:eastAsia="仿宋" w:hAnsi="仿宋"/>
          <w:sz w:val="24"/>
        </w:rPr>
        <w:t>博士奖</w:t>
      </w:r>
      <w:proofErr w:type="gramEnd"/>
      <w:r>
        <w:rPr>
          <w:rFonts w:ascii="仿宋" w:eastAsia="仿宋" w:hAnsi="仿宋"/>
          <w:sz w:val="24"/>
        </w:rPr>
        <w:t>助学金主要包括国家助学金、学业奖学金、博士津贴三部分，标准如下：</w:t>
      </w:r>
    </w:p>
    <w:tbl>
      <w:tblPr>
        <w:tblW w:w="8452" w:type="dxa"/>
        <w:jc w:val="center"/>
        <w:tblLayout w:type="fixed"/>
        <w:tblCellMar>
          <w:left w:w="10" w:type="dxa"/>
          <w:right w:w="10" w:type="dxa"/>
        </w:tblCellMar>
        <w:tblLook w:val="04A0" w:firstRow="1" w:lastRow="0" w:firstColumn="1" w:lastColumn="0" w:noHBand="0" w:noVBand="1"/>
      </w:tblPr>
      <w:tblGrid>
        <w:gridCol w:w="1079"/>
        <w:gridCol w:w="1620"/>
        <w:gridCol w:w="1465"/>
        <w:gridCol w:w="1501"/>
        <w:gridCol w:w="1443"/>
        <w:gridCol w:w="1344"/>
      </w:tblGrid>
      <w:tr w:rsidR="0031351E">
        <w:trPr>
          <w:trHeight w:hRule="exact" w:val="379"/>
          <w:jc w:val="center"/>
        </w:trPr>
        <w:tc>
          <w:tcPr>
            <w:tcW w:w="1079"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等级</w:t>
            </w:r>
          </w:p>
        </w:tc>
        <w:tc>
          <w:tcPr>
            <w:tcW w:w="1620"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覆盖面</w:t>
            </w:r>
          </w:p>
        </w:tc>
        <w:tc>
          <w:tcPr>
            <w:tcW w:w="1465"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国家助学金</w:t>
            </w:r>
          </w:p>
        </w:tc>
        <w:tc>
          <w:tcPr>
            <w:tcW w:w="1501"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学业奖学金</w:t>
            </w:r>
          </w:p>
        </w:tc>
        <w:tc>
          <w:tcPr>
            <w:tcW w:w="1443"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博士津贴</w:t>
            </w:r>
          </w:p>
        </w:tc>
        <w:tc>
          <w:tcPr>
            <w:tcW w:w="1344" w:type="dxa"/>
            <w:tcBorders>
              <w:top w:val="single" w:sz="4" w:space="0" w:color="auto"/>
              <w:left w:val="single" w:sz="4" w:space="0" w:color="auto"/>
              <w:righ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总金额</w:t>
            </w:r>
          </w:p>
        </w:tc>
      </w:tr>
      <w:tr w:rsidR="0031351E">
        <w:trPr>
          <w:trHeight w:hRule="exact" w:val="428"/>
          <w:jc w:val="center"/>
        </w:trPr>
        <w:tc>
          <w:tcPr>
            <w:tcW w:w="1079"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一等</w:t>
            </w:r>
          </w:p>
        </w:tc>
        <w:tc>
          <w:tcPr>
            <w:tcW w:w="1620"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5%(</w:t>
            </w:r>
            <w:r>
              <w:rPr>
                <w:rFonts w:ascii="仿宋" w:eastAsia="仿宋" w:hAnsi="仿宋"/>
                <w:sz w:val="24"/>
              </w:rPr>
              <w:t>新生</w:t>
            </w:r>
            <w:r>
              <w:rPr>
                <w:rFonts w:ascii="仿宋" w:eastAsia="仿宋" w:hAnsi="仿宋"/>
                <w:sz w:val="24"/>
              </w:rPr>
              <w:t>0%)</w:t>
            </w:r>
          </w:p>
        </w:tc>
        <w:tc>
          <w:tcPr>
            <w:tcW w:w="1465" w:type="dxa"/>
            <w:vMerge w:val="restart"/>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1.5</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501"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1.8</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443"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3</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344" w:type="dxa"/>
            <w:tcBorders>
              <w:top w:val="single" w:sz="4" w:space="0" w:color="auto"/>
              <w:left w:val="single" w:sz="4" w:space="0" w:color="auto"/>
              <w:righ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6.3</w:t>
            </w:r>
            <w:r>
              <w:rPr>
                <w:rFonts w:ascii="仿宋" w:eastAsia="仿宋" w:hAnsi="仿宋"/>
                <w:sz w:val="24"/>
              </w:rPr>
              <w:t>万元</w:t>
            </w:r>
            <w:r>
              <w:rPr>
                <w:rFonts w:ascii="仿宋" w:eastAsia="仿宋" w:hAnsi="仿宋"/>
                <w:sz w:val="24"/>
              </w:rPr>
              <w:t>/</w:t>
            </w:r>
            <w:r>
              <w:rPr>
                <w:rFonts w:ascii="仿宋" w:eastAsia="仿宋" w:hAnsi="仿宋"/>
                <w:sz w:val="24"/>
              </w:rPr>
              <w:t>年</w:t>
            </w:r>
          </w:p>
        </w:tc>
      </w:tr>
      <w:tr w:rsidR="0031351E">
        <w:trPr>
          <w:trHeight w:hRule="exact" w:val="422"/>
          <w:jc w:val="center"/>
        </w:trPr>
        <w:tc>
          <w:tcPr>
            <w:tcW w:w="1079"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二等</w:t>
            </w:r>
          </w:p>
        </w:tc>
        <w:tc>
          <w:tcPr>
            <w:tcW w:w="1620"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25%(</w:t>
            </w:r>
            <w:r>
              <w:rPr>
                <w:rFonts w:ascii="仿宋" w:eastAsia="仿宋" w:hAnsi="仿宋"/>
                <w:sz w:val="24"/>
              </w:rPr>
              <w:t>新生</w:t>
            </w:r>
            <w:r>
              <w:rPr>
                <w:rFonts w:ascii="仿宋" w:eastAsia="仿宋" w:hAnsi="仿宋"/>
                <w:sz w:val="24"/>
              </w:rPr>
              <w:t>30%)</w:t>
            </w:r>
          </w:p>
        </w:tc>
        <w:tc>
          <w:tcPr>
            <w:tcW w:w="1465" w:type="dxa"/>
            <w:vMerge/>
            <w:tcBorders>
              <w:left w:val="single" w:sz="4" w:space="0" w:color="auto"/>
            </w:tcBorders>
            <w:shd w:val="clear" w:color="auto" w:fill="FFFFFF"/>
            <w:vAlign w:val="center"/>
          </w:tcPr>
          <w:p w:rsidR="0031351E" w:rsidRDefault="0031351E">
            <w:pPr>
              <w:jc w:val="center"/>
              <w:rPr>
                <w:rFonts w:ascii="仿宋" w:eastAsia="仿宋" w:hAnsi="仿宋"/>
                <w:sz w:val="24"/>
              </w:rPr>
            </w:pPr>
          </w:p>
        </w:tc>
        <w:tc>
          <w:tcPr>
            <w:tcW w:w="1501"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1.8</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443"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1.6</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344" w:type="dxa"/>
            <w:tcBorders>
              <w:top w:val="single" w:sz="4" w:space="0" w:color="auto"/>
              <w:left w:val="single" w:sz="4" w:space="0" w:color="auto"/>
              <w:righ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4.9</w:t>
            </w:r>
            <w:r>
              <w:rPr>
                <w:rFonts w:ascii="仿宋" w:eastAsia="仿宋" w:hAnsi="仿宋"/>
                <w:sz w:val="24"/>
              </w:rPr>
              <w:t>万元</w:t>
            </w:r>
            <w:r>
              <w:rPr>
                <w:rFonts w:ascii="仿宋" w:eastAsia="仿宋" w:hAnsi="仿宋"/>
                <w:sz w:val="24"/>
              </w:rPr>
              <w:t>/</w:t>
            </w:r>
            <w:r>
              <w:rPr>
                <w:rFonts w:ascii="仿宋" w:eastAsia="仿宋" w:hAnsi="仿宋"/>
                <w:sz w:val="24"/>
              </w:rPr>
              <w:t>年</w:t>
            </w:r>
          </w:p>
        </w:tc>
      </w:tr>
      <w:tr w:rsidR="0031351E">
        <w:trPr>
          <w:trHeight w:hRule="exact" w:val="416"/>
          <w:jc w:val="center"/>
        </w:trPr>
        <w:tc>
          <w:tcPr>
            <w:tcW w:w="1079"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三等</w:t>
            </w:r>
          </w:p>
        </w:tc>
        <w:tc>
          <w:tcPr>
            <w:tcW w:w="1620"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70%</w:t>
            </w:r>
          </w:p>
        </w:tc>
        <w:tc>
          <w:tcPr>
            <w:tcW w:w="1465" w:type="dxa"/>
            <w:vMerge/>
            <w:tcBorders>
              <w:left w:val="single" w:sz="4" w:space="0" w:color="auto"/>
            </w:tcBorders>
            <w:shd w:val="clear" w:color="auto" w:fill="FFFFFF"/>
            <w:vAlign w:val="center"/>
          </w:tcPr>
          <w:p w:rsidR="0031351E" w:rsidRDefault="0031351E">
            <w:pPr>
              <w:jc w:val="center"/>
              <w:rPr>
                <w:rFonts w:ascii="仿宋" w:eastAsia="仿宋" w:hAnsi="仿宋"/>
                <w:sz w:val="24"/>
              </w:rPr>
            </w:pPr>
          </w:p>
        </w:tc>
        <w:tc>
          <w:tcPr>
            <w:tcW w:w="1501"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443"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1.2</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344" w:type="dxa"/>
            <w:tcBorders>
              <w:top w:val="single" w:sz="4" w:space="0" w:color="auto"/>
              <w:left w:val="single" w:sz="4" w:space="0" w:color="auto"/>
              <w:righ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3.7</w:t>
            </w:r>
            <w:r>
              <w:rPr>
                <w:rFonts w:ascii="仿宋" w:eastAsia="仿宋" w:hAnsi="仿宋"/>
                <w:sz w:val="24"/>
              </w:rPr>
              <w:t>万元</w:t>
            </w:r>
            <w:r>
              <w:rPr>
                <w:rFonts w:ascii="仿宋" w:eastAsia="仿宋" w:hAnsi="仿宋"/>
                <w:sz w:val="24"/>
              </w:rPr>
              <w:t>/</w:t>
            </w:r>
            <w:r>
              <w:rPr>
                <w:rFonts w:ascii="仿宋" w:eastAsia="仿宋" w:hAnsi="仿宋"/>
                <w:sz w:val="24"/>
              </w:rPr>
              <w:t>年</w:t>
            </w:r>
          </w:p>
        </w:tc>
      </w:tr>
      <w:tr w:rsidR="0031351E">
        <w:trPr>
          <w:trHeight w:hRule="exact" w:val="422"/>
          <w:jc w:val="center"/>
        </w:trPr>
        <w:tc>
          <w:tcPr>
            <w:tcW w:w="2699" w:type="dxa"/>
            <w:gridSpan w:val="2"/>
            <w:tcBorders>
              <w:top w:val="single" w:sz="4" w:space="0" w:color="auto"/>
              <w:left w:val="single" w:sz="4" w:space="0" w:color="auto"/>
              <w:bottom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备注</w:t>
            </w:r>
          </w:p>
        </w:tc>
        <w:tc>
          <w:tcPr>
            <w:tcW w:w="1465" w:type="dxa"/>
            <w:tcBorders>
              <w:top w:val="single" w:sz="4" w:space="0" w:color="auto"/>
              <w:left w:val="single" w:sz="4" w:space="0" w:color="auto"/>
              <w:bottom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按月发放</w:t>
            </w:r>
          </w:p>
        </w:tc>
        <w:tc>
          <w:tcPr>
            <w:tcW w:w="1501" w:type="dxa"/>
            <w:tcBorders>
              <w:top w:val="single" w:sz="4" w:space="0" w:color="auto"/>
              <w:left w:val="single" w:sz="4" w:space="0" w:color="auto"/>
              <w:bottom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按年发放</w:t>
            </w:r>
          </w:p>
        </w:tc>
        <w:tc>
          <w:tcPr>
            <w:tcW w:w="1443" w:type="dxa"/>
            <w:tcBorders>
              <w:top w:val="single" w:sz="4" w:space="0" w:color="auto"/>
              <w:left w:val="single" w:sz="4" w:space="0" w:color="auto"/>
              <w:bottom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按月发放</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31351E" w:rsidRDefault="0031351E">
            <w:pPr>
              <w:jc w:val="center"/>
              <w:rPr>
                <w:rFonts w:ascii="仿宋" w:eastAsia="仿宋" w:hAnsi="仿宋"/>
                <w:sz w:val="24"/>
              </w:rPr>
            </w:pPr>
          </w:p>
        </w:tc>
      </w:tr>
    </w:tbl>
    <w:p w:rsidR="0031351E" w:rsidRDefault="0031351E">
      <w:pPr>
        <w:autoSpaceDE w:val="0"/>
        <w:autoSpaceDN w:val="0"/>
        <w:adjustRightInd w:val="0"/>
        <w:ind w:firstLine="420"/>
        <w:jc w:val="left"/>
        <w:rPr>
          <w:rFonts w:ascii="Times New Roman" w:hAnsi="Times New Roman" w:cs="Times New Roman"/>
          <w:sz w:val="24"/>
          <w:szCs w:val="24"/>
        </w:rPr>
      </w:pPr>
    </w:p>
    <w:p w:rsidR="0031351E" w:rsidRDefault="00702909">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31351E" w:rsidRDefault="00702909">
      <w:pPr>
        <w:spacing w:line="360" w:lineRule="auto"/>
        <w:ind w:firstLineChars="200" w:firstLine="480"/>
        <w:rPr>
          <w:rFonts w:ascii="仿宋" w:eastAsia="仿宋" w:hAnsi="仿宋"/>
          <w:sz w:val="24"/>
        </w:rPr>
      </w:pPr>
      <w:r>
        <w:rPr>
          <w:rFonts w:ascii="仿宋" w:eastAsia="仿宋" w:hAnsi="仿宋"/>
          <w:sz w:val="24"/>
        </w:rPr>
        <w:lastRenderedPageBreak/>
        <w:t>（二）</w:t>
      </w:r>
      <w:proofErr w:type="gramStart"/>
      <w:r>
        <w:rPr>
          <w:rFonts w:ascii="仿宋" w:eastAsia="仿宋" w:hAnsi="仿宋"/>
          <w:sz w:val="24"/>
        </w:rPr>
        <w:t>硕士奖</w:t>
      </w:r>
      <w:proofErr w:type="gramEnd"/>
      <w:r>
        <w:rPr>
          <w:rFonts w:ascii="仿宋" w:eastAsia="仿宋" w:hAnsi="仿宋"/>
          <w:sz w:val="24"/>
        </w:rPr>
        <w:t>助学金主要包括国家助学金、学业奖学金两部分，标准如下：</w:t>
      </w:r>
    </w:p>
    <w:tbl>
      <w:tblPr>
        <w:tblW w:w="7638" w:type="dxa"/>
        <w:jc w:val="center"/>
        <w:tblLayout w:type="fixed"/>
        <w:tblCellMar>
          <w:left w:w="10" w:type="dxa"/>
          <w:right w:w="10" w:type="dxa"/>
        </w:tblCellMar>
        <w:tblLook w:val="04A0" w:firstRow="1" w:lastRow="0" w:firstColumn="1" w:lastColumn="0" w:noHBand="0" w:noVBand="1"/>
      </w:tblPr>
      <w:tblGrid>
        <w:gridCol w:w="1336"/>
        <w:gridCol w:w="1291"/>
        <w:gridCol w:w="1630"/>
        <w:gridCol w:w="1809"/>
        <w:gridCol w:w="1572"/>
      </w:tblGrid>
      <w:tr w:rsidR="0031351E">
        <w:trPr>
          <w:trHeight w:hRule="exact" w:val="413"/>
          <w:jc w:val="center"/>
        </w:trPr>
        <w:tc>
          <w:tcPr>
            <w:tcW w:w="1336"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等级</w:t>
            </w:r>
          </w:p>
        </w:tc>
        <w:tc>
          <w:tcPr>
            <w:tcW w:w="1291"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覆盖面</w:t>
            </w:r>
          </w:p>
        </w:tc>
        <w:tc>
          <w:tcPr>
            <w:tcW w:w="1630"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国家助学金</w:t>
            </w:r>
          </w:p>
        </w:tc>
        <w:tc>
          <w:tcPr>
            <w:tcW w:w="1809"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学业奖学金</w:t>
            </w:r>
          </w:p>
        </w:tc>
        <w:tc>
          <w:tcPr>
            <w:tcW w:w="1572" w:type="dxa"/>
            <w:tcBorders>
              <w:top w:val="single" w:sz="4" w:space="0" w:color="auto"/>
              <w:left w:val="single" w:sz="4" w:space="0" w:color="auto"/>
              <w:righ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总金额</w:t>
            </w:r>
          </w:p>
        </w:tc>
      </w:tr>
      <w:tr w:rsidR="0031351E">
        <w:trPr>
          <w:trHeight w:hRule="exact" w:val="413"/>
          <w:jc w:val="center"/>
        </w:trPr>
        <w:tc>
          <w:tcPr>
            <w:tcW w:w="1336"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一等</w:t>
            </w:r>
          </w:p>
        </w:tc>
        <w:tc>
          <w:tcPr>
            <w:tcW w:w="1291"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10%</w:t>
            </w:r>
          </w:p>
        </w:tc>
        <w:tc>
          <w:tcPr>
            <w:tcW w:w="1630" w:type="dxa"/>
            <w:vMerge w:val="restart"/>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0.6</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809"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1.2</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572" w:type="dxa"/>
            <w:tcBorders>
              <w:top w:val="single" w:sz="4" w:space="0" w:color="auto"/>
              <w:left w:val="single" w:sz="4" w:space="0" w:color="auto"/>
              <w:righ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1.8</w:t>
            </w:r>
            <w:r>
              <w:rPr>
                <w:rFonts w:ascii="仿宋" w:eastAsia="仿宋" w:hAnsi="仿宋"/>
                <w:sz w:val="24"/>
              </w:rPr>
              <w:t>万元</w:t>
            </w:r>
            <w:r>
              <w:rPr>
                <w:rFonts w:ascii="仿宋" w:eastAsia="仿宋" w:hAnsi="仿宋"/>
                <w:sz w:val="24"/>
              </w:rPr>
              <w:t>/</w:t>
            </w:r>
            <w:r>
              <w:rPr>
                <w:rFonts w:ascii="仿宋" w:eastAsia="仿宋" w:hAnsi="仿宋"/>
                <w:sz w:val="24"/>
              </w:rPr>
              <w:t>年</w:t>
            </w:r>
          </w:p>
        </w:tc>
      </w:tr>
      <w:tr w:rsidR="0031351E">
        <w:trPr>
          <w:trHeight w:hRule="exact" w:val="408"/>
          <w:jc w:val="center"/>
        </w:trPr>
        <w:tc>
          <w:tcPr>
            <w:tcW w:w="1336"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二等</w:t>
            </w:r>
          </w:p>
        </w:tc>
        <w:tc>
          <w:tcPr>
            <w:tcW w:w="1291"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60%</w:t>
            </w:r>
          </w:p>
        </w:tc>
        <w:tc>
          <w:tcPr>
            <w:tcW w:w="1630" w:type="dxa"/>
            <w:vMerge/>
            <w:tcBorders>
              <w:left w:val="single" w:sz="4" w:space="0" w:color="auto"/>
            </w:tcBorders>
            <w:shd w:val="clear" w:color="auto" w:fill="FFFFFF"/>
            <w:vAlign w:val="center"/>
          </w:tcPr>
          <w:p w:rsidR="0031351E" w:rsidRDefault="0031351E">
            <w:pPr>
              <w:jc w:val="center"/>
              <w:rPr>
                <w:rFonts w:ascii="仿宋" w:eastAsia="仿宋" w:hAnsi="仿宋"/>
                <w:sz w:val="24"/>
              </w:rPr>
            </w:pPr>
          </w:p>
        </w:tc>
        <w:tc>
          <w:tcPr>
            <w:tcW w:w="1809"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0.6</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572" w:type="dxa"/>
            <w:tcBorders>
              <w:top w:val="single" w:sz="4" w:space="0" w:color="auto"/>
              <w:left w:val="single" w:sz="4" w:space="0" w:color="auto"/>
              <w:righ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1.2</w:t>
            </w:r>
            <w:r>
              <w:rPr>
                <w:rFonts w:ascii="仿宋" w:eastAsia="仿宋" w:hAnsi="仿宋"/>
                <w:sz w:val="24"/>
              </w:rPr>
              <w:t>万元</w:t>
            </w:r>
            <w:r>
              <w:rPr>
                <w:rFonts w:ascii="仿宋" w:eastAsia="仿宋" w:hAnsi="仿宋"/>
                <w:sz w:val="24"/>
              </w:rPr>
              <w:t>/</w:t>
            </w:r>
            <w:r>
              <w:rPr>
                <w:rFonts w:ascii="仿宋" w:eastAsia="仿宋" w:hAnsi="仿宋"/>
                <w:sz w:val="24"/>
              </w:rPr>
              <w:t>年</w:t>
            </w:r>
          </w:p>
        </w:tc>
      </w:tr>
      <w:tr w:rsidR="0031351E">
        <w:trPr>
          <w:trHeight w:hRule="exact" w:val="408"/>
          <w:jc w:val="center"/>
        </w:trPr>
        <w:tc>
          <w:tcPr>
            <w:tcW w:w="1336"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三等</w:t>
            </w:r>
          </w:p>
        </w:tc>
        <w:tc>
          <w:tcPr>
            <w:tcW w:w="1291"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30%</w:t>
            </w:r>
          </w:p>
        </w:tc>
        <w:tc>
          <w:tcPr>
            <w:tcW w:w="1630" w:type="dxa"/>
            <w:vMerge/>
            <w:tcBorders>
              <w:left w:val="single" w:sz="4" w:space="0" w:color="auto"/>
            </w:tcBorders>
            <w:shd w:val="clear" w:color="auto" w:fill="FFFFFF"/>
            <w:vAlign w:val="center"/>
          </w:tcPr>
          <w:p w:rsidR="0031351E" w:rsidRDefault="0031351E">
            <w:pPr>
              <w:jc w:val="center"/>
              <w:rPr>
                <w:rFonts w:ascii="仿宋" w:eastAsia="仿宋" w:hAnsi="仿宋"/>
                <w:sz w:val="24"/>
              </w:rPr>
            </w:pPr>
          </w:p>
        </w:tc>
        <w:tc>
          <w:tcPr>
            <w:tcW w:w="1809" w:type="dxa"/>
            <w:tcBorders>
              <w:top w:val="single" w:sz="4" w:space="0" w:color="auto"/>
              <w:lef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0.2</w:t>
            </w:r>
            <w:r>
              <w:rPr>
                <w:rFonts w:ascii="仿宋" w:eastAsia="仿宋" w:hAnsi="仿宋"/>
                <w:sz w:val="24"/>
              </w:rPr>
              <w:t>万元</w:t>
            </w:r>
            <w:r>
              <w:rPr>
                <w:rFonts w:ascii="仿宋" w:eastAsia="仿宋" w:hAnsi="仿宋"/>
                <w:sz w:val="24"/>
              </w:rPr>
              <w:t>/</w:t>
            </w:r>
            <w:r>
              <w:rPr>
                <w:rFonts w:ascii="仿宋" w:eastAsia="仿宋" w:hAnsi="仿宋"/>
                <w:sz w:val="24"/>
              </w:rPr>
              <w:t>年</w:t>
            </w:r>
          </w:p>
        </w:tc>
        <w:tc>
          <w:tcPr>
            <w:tcW w:w="1572" w:type="dxa"/>
            <w:tcBorders>
              <w:top w:val="single" w:sz="4" w:space="0" w:color="auto"/>
              <w:left w:val="single" w:sz="4" w:space="0" w:color="auto"/>
              <w:right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0.8</w:t>
            </w:r>
            <w:r>
              <w:rPr>
                <w:rFonts w:ascii="仿宋" w:eastAsia="仿宋" w:hAnsi="仿宋"/>
                <w:sz w:val="24"/>
              </w:rPr>
              <w:t>万元</w:t>
            </w:r>
            <w:r>
              <w:rPr>
                <w:rFonts w:ascii="仿宋" w:eastAsia="仿宋" w:hAnsi="仿宋"/>
                <w:sz w:val="24"/>
              </w:rPr>
              <w:t>/</w:t>
            </w:r>
            <w:r>
              <w:rPr>
                <w:rFonts w:ascii="仿宋" w:eastAsia="仿宋" w:hAnsi="仿宋"/>
                <w:sz w:val="24"/>
              </w:rPr>
              <w:t>年</w:t>
            </w:r>
          </w:p>
        </w:tc>
      </w:tr>
      <w:tr w:rsidR="0031351E">
        <w:trPr>
          <w:trHeight w:hRule="exact" w:val="422"/>
          <w:jc w:val="center"/>
        </w:trPr>
        <w:tc>
          <w:tcPr>
            <w:tcW w:w="2627" w:type="dxa"/>
            <w:gridSpan w:val="2"/>
            <w:tcBorders>
              <w:top w:val="single" w:sz="4" w:space="0" w:color="auto"/>
              <w:left w:val="single" w:sz="4" w:space="0" w:color="auto"/>
              <w:bottom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备注</w:t>
            </w:r>
          </w:p>
        </w:tc>
        <w:tc>
          <w:tcPr>
            <w:tcW w:w="1630" w:type="dxa"/>
            <w:tcBorders>
              <w:top w:val="single" w:sz="4" w:space="0" w:color="auto"/>
              <w:left w:val="single" w:sz="4" w:space="0" w:color="auto"/>
              <w:bottom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按月发放</w:t>
            </w:r>
          </w:p>
        </w:tc>
        <w:tc>
          <w:tcPr>
            <w:tcW w:w="1809" w:type="dxa"/>
            <w:tcBorders>
              <w:top w:val="single" w:sz="4" w:space="0" w:color="auto"/>
              <w:left w:val="single" w:sz="4" w:space="0" w:color="auto"/>
              <w:bottom w:val="single" w:sz="4" w:space="0" w:color="auto"/>
            </w:tcBorders>
            <w:shd w:val="clear" w:color="auto" w:fill="FFFFFF"/>
            <w:vAlign w:val="center"/>
          </w:tcPr>
          <w:p w:rsidR="0031351E" w:rsidRDefault="00702909">
            <w:pPr>
              <w:jc w:val="center"/>
              <w:rPr>
                <w:rFonts w:ascii="仿宋" w:eastAsia="仿宋" w:hAnsi="仿宋"/>
                <w:sz w:val="24"/>
              </w:rPr>
            </w:pPr>
            <w:r>
              <w:rPr>
                <w:rFonts w:ascii="仿宋" w:eastAsia="仿宋" w:hAnsi="仿宋"/>
                <w:sz w:val="24"/>
              </w:rPr>
              <w:t>按年发放</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31351E" w:rsidRDefault="0031351E">
            <w:pPr>
              <w:jc w:val="center"/>
              <w:rPr>
                <w:rFonts w:ascii="仿宋" w:eastAsia="仿宋" w:hAnsi="仿宋"/>
                <w:sz w:val="24"/>
              </w:rPr>
            </w:pPr>
          </w:p>
        </w:tc>
      </w:tr>
    </w:tbl>
    <w:p w:rsidR="0031351E" w:rsidRDefault="00702909">
      <w:pPr>
        <w:spacing w:line="360" w:lineRule="auto"/>
        <w:ind w:firstLineChars="200" w:firstLine="480"/>
        <w:rPr>
          <w:rFonts w:ascii="仿宋" w:eastAsia="仿宋" w:hAnsi="仿宋"/>
          <w:sz w:val="24"/>
        </w:rPr>
      </w:pPr>
      <w:r>
        <w:rPr>
          <w:rFonts w:ascii="仿宋" w:eastAsia="仿宋" w:hAnsi="仿宋" w:hint="eastAsia"/>
          <w:sz w:val="24"/>
        </w:rPr>
        <w:t>（三）根据当年申请学生的情况，动态调整各等级学业奖学金的比例。</w:t>
      </w:r>
    </w:p>
    <w:p w:rsidR="0031351E" w:rsidRDefault="00702909">
      <w:pPr>
        <w:spacing w:line="360" w:lineRule="auto"/>
        <w:rPr>
          <w:rFonts w:ascii="仿宋" w:eastAsia="仿宋" w:hAnsi="仿宋"/>
          <w:sz w:val="24"/>
          <w:highlight w:val="yellow"/>
        </w:rPr>
      </w:pPr>
      <w:r>
        <w:rPr>
          <w:rFonts w:ascii="仿宋" w:eastAsia="仿宋" w:hAnsi="仿宋" w:hint="eastAsia"/>
          <w:sz w:val="24"/>
        </w:rPr>
        <w:t>1</w:t>
      </w:r>
      <w:r>
        <w:rPr>
          <w:rFonts w:ascii="仿宋" w:eastAsia="仿宋" w:hAnsi="仿宋" w:hint="eastAsia"/>
          <w:sz w:val="24"/>
        </w:rPr>
        <w:t>、</w:t>
      </w:r>
      <w:r>
        <w:rPr>
          <w:rFonts w:ascii="仿宋" w:eastAsia="仿宋" w:hAnsi="仿宋" w:hint="eastAsia"/>
          <w:sz w:val="24"/>
          <w:highlight w:val="yellow"/>
        </w:rPr>
        <w:t>博士一等学业奖学金名额按学校规定的比例设置，学术学位硕士和专业学位硕士的一等学业奖学金名额按照各自的学生人数比例分别设置，但一等学业奖学金总名额上限不超过学校规定的比例。如一等学业奖学金候选人不足，剩余的名额将根据额度动态调整相应的奖学金等级比例；如一等学业奖学金候选人充足，但超过上限的情况，将参照评选细则的项目计算总分并排序确定最终一等学业奖学金人选。</w:t>
      </w:r>
    </w:p>
    <w:p w:rsidR="0031351E" w:rsidRDefault="00702909">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、如出现取消评选学业奖学金资格的情况，多余的额度动态调整相应的奖学金等级比例。</w:t>
      </w:r>
    </w:p>
    <w:p w:rsidR="0031351E" w:rsidRDefault="00702909">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、一等学业奖学金由学院根据候选人的情况统一评选，</w:t>
      </w:r>
      <w:r>
        <w:rPr>
          <w:rFonts w:ascii="仿宋" w:eastAsia="仿宋" w:hAnsi="仿宋" w:hint="eastAsia"/>
          <w:color w:val="FF0000"/>
          <w:sz w:val="24"/>
          <w:highlight w:val="yellow"/>
        </w:rPr>
        <w:t>评选原则</w:t>
      </w:r>
      <w:r>
        <w:rPr>
          <w:rFonts w:ascii="仿宋" w:eastAsia="仿宋" w:hAnsi="仿宋" w:hint="eastAsia"/>
          <w:color w:val="FF0000"/>
          <w:sz w:val="24"/>
          <w:highlight w:val="yellow"/>
        </w:rPr>
        <w:t>与</w:t>
      </w:r>
      <w:r>
        <w:rPr>
          <w:rFonts w:ascii="仿宋" w:eastAsia="仿宋" w:hAnsi="仿宋" w:hint="eastAsia"/>
          <w:color w:val="FF0000"/>
          <w:sz w:val="24"/>
          <w:highlight w:val="yellow"/>
        </w:rPr>
        <w:t>经济学院研究</w:t>
      </w:r>
      <w:r>
        <w:rPr>
          <w:rFonts w:ascii="仿宋" w:eastAsia="仿宋" w:hAnsi="仿宋" w:hint="eastAsia"/>
          <w:color w:val="FF0000"/>
          <w:sz w:val="24"/>
          <w:highlight w:val="yellow"/>
        </w:rPr>
        <w:t>生国家奖学金评选原则一致</w:t>
      </w:r>
      <w:r>
        <w:rPr>
          <w:rFonts w:ascii="仿宋" w:eastAsia="仿宋" w:hAnsi="仿宋" w:hint="eastAsia"/>
          <w:color w:val="FF0000"/>
          <w:sz w:val="24"/>
          <w:highlight w:val="yellow"/>
        </w:rPr>
        <w:t>，</w:t>
      </w:r>
      <w:r>
        <w:rPr>
          <w:rFonts w:ascii="仿宋" w:eastAsia="仿宋" w:hAnsi="仿宋" w:hint="eastAsia"/>
          <w:color w:val="FF0000"/>
          <w:sz w:val="24"/>
          <w:highlight w:val="yellow"/>
        </w:rPr>
        <w:t>具体评定方法详见《经济学院研究生学业奖学金评定细则》</w:t>
      </w:r>
      <w:r>
        <w:rPr>
          <w:rFonts w:ascii="仿宋" w:eastAsia="仿宋" w:hAnsi="仿宋" w:hint="eastAsia"/>
          <w:color w:val="FF0000"/>
          <w:sz w:val="24"/>
        </w:rPr>
        <w:t>。</w:t>
      </w:r>
    </w:p>
    <w:p w:rsidR="0031351E" w:rsidRDefault="00702909">
      <w:pPr>
        <w:spacing w:line="360" w:lineRule="auto"/>
        <w:ind w:firstLineChars="200" w:firstLine="480"/>
        <w:rPr>
          <w:rFonts w:ascii="仿宋" w:eastAsia="仿宋" w:hAnsi="仿宋"/>
          <w:sz w:val="24"/>
        </w:rPr>
      </w:pPr>
      <w:r>
        <w:rPr>
          <w:rFonts w:ascii="仿宋" w:eastAsia="仿宋" w:hAnsi="仿宋" w:hint="eastAsia"/>
          <w:sz w:val="24"/>
        </w:rPr>
        <w:t>第五条</w:t>
      </w:r>
      <w:r>
        <w:rPr>
          <w:rFonts w:ascii="仿宋" w:eastAsia="仿宋" w:hAnsi="仿宋" w:hint="eastAsia"/>
          <w:sz w:val="24"/>
        </w:rPr>
        <w:t xml:space="preserve"> </w:t>
      </w:r>
      <w:r>
        <w:rPr>
          <w:rFonts w:ascii="仿宋" w:eastAsia="仿宋" w:hAnsi="仿宋" w:hint="eastAsia"/>
          <w:sz w:val="24"/>
        </w:rPr>
        <w:t>研究生学业奖学金评选条件：</w:t>
      </w:r>
    </w:p>
    <w:p w:rsidR="0031351E" w:rsidRDefault="00702909">
      <w:pPr>
        <w:spacing w:line="360" w:lineRule="auto"/>
        <w:ind w:firstLineChars="200" w:firstLine="480"/>
        <w:rPr>
          <w:rFonts w:ascii="仿宋" w:eastAsia="仿宋" w:hAnsi="仿宋"/>
          <w:sz w:val="24"/>
        </w:rPr>
      </w:pPr>
      <w:r>
        <w:rPr>
          <w:rFonts w:ascii="仿宋" w:eastAsia="仿宋" w:hAnsi="仿宋" w:hint="eastAsia"/>
          <w:sz w:val="24"/>
        </w:rPr>
        <w:t>（一）思想和政治素质好，遵守国家法律和学校、学院各项规章制度，尊敬师长，团结同学，关心集体，品德优良；</w:t>
      </w:r>
    </w:p>
    <w:p w:rsidR="0031351E" w:rsidRDefault="00702909">
      <w:pPr>
        <w:spacing w:line="360" w:lineRule="auto"/>
        <w:ind w:firstLine="420"/>
        <w:rPr>
          <w:rFonts w:ascii="仿宋" w:eastAsia="仿宋" w:hAnsi="仿宋"/>
          <w:sz w:val="24"/>
        </w:rPr>
      </w:pPr>
      <w:r>
        <w:rPr>
          <w:rFonts w:ascii="仿宋" w:eastAsia="仿宋" w:hAnsi="仿宋" w:hint="eastAsia"/>
          <w:sz w:val="24"/>
        </w:rPr>
        <w:t>（二）热爱所学专业，勤奋学习，刻苦钻研科学文化知识，学风端正，学习成绩优秀，积极参加科研活动，并取得一定成绩。</w:t>
      </w:r>
    </w:p>
    <w:p w:rsidR="0031351E" w:rsidRDefault="00702909">
      <w:pPr>
        <w:spacing w:line="360" w:lineRule="auto"/>
        <w:ind w:firstLine="435"/>
        <w:rPr>
          <w:rFonts w:ascii="仿宋" w:eastAsia="仿宋" w:hAnsi="仿宋"/>
          <w:sz w:val="24"/>
        </w:rPr>
      </w:pPr>
      <w:r>
        <w:rPr>
          <w:rFonts w:ascii="仿宋" w:eastAsia="仿宋" w:hAnsi="仿宋" w:hint="eastAsia"/>
          <w:sz w:val="24"/>
        </w:rPr>
        <w:t>（三）积极参加社会实践活动和各项劳动，积极参加社会工作，加强体育锻炼、关心集体。</w:t>
      </w:r>
    </w:p>
    <w:p w:rsidR="0031351E" w:rsidRDefault="00702909">
      <w:pPr>
        <w:spacing w:line="360" w:lineRule="auto"/>
        <w:ind w:firstLineChars="200" w:firstLine="480"/>
        <w:rPr>
          <w:rFonts w:ascii="仿宋" w:eastAsia="仿宋" w:hAnsi="仿宋"/>
          <w:sz w:val="24"/>
        </w:rPr>
      </w:pPr>
      <w:r>
        <w:rPr>
          <w:rFonts w:ascii="仿宋" w:eastAsia="仿宋" w:hAnsi="仿宋" w:hint="eastAsia"/>
          <w:sz w:val="24"/>
        </w:rPr>
        <w:t>第六条</w:t>
      </w:r>
      <w:r>
        <w:rPr>
          <w:rFonts w:ascii="仿宋" w:eastAsia="仿宋" w:hAnsi="仿宋"/>
          <w:sz w:val="24"/>
        </w:rPr>
        <w:t xml:space="preserve"> </w:t>
      </w:r>
      <w:r>
        <w:rPr>
          <w:rFonts w:ascii="仿宋" w:eastAsia="仿宋" w:hAnsi="仿宋" w:hint="eastAsia"/>
          <w:sz w:val="24"/>
        </w:rPr>
        <w:t>申请审核制博士、硕博连读研究生，根据当年所修课程的层次阶段确定身份参与学业奖学金的评定。在选修硕士课程阶段按照硕士研究生身份参与评定，进入选修博士研究生课程阶段按照博士研究生身份参与评定。</w:t>
      </w:r>
    </w:p>
    <w:p w:rsidR="0031351E" w:rsidRDefault="00702909">
      <w:pPr>
        <w:spacing w:line="360" w:lineRule="auto"/>
        <w:jc w:val="center"/>
        <w:rPr>
          <w:rFonts w:ascii="仿宋" w:eastAsia="仿宋" w:hAnsi="仿宋"/>
          <w:sz w:val="28"/>
          <w:szCs w:val="28"/>
        </w:rPr>
      </w:pPr>
      <w:r>
        <w:rPr>
          <w:rFonts w:ascii="仿宋" w:eastAsia="仿宋" w:hAnsi="仿宋" w:hint="eastAsia"/>
          <w:sz w:val="28"/>
          <w:szCs w:val="28"/>
        </w:rPr>
        <w:t>第三章</w:t>
      </w:r>
      <w:r>
        <w:rPr>
          <w:rFonts w:ascii="仿宋" w:eastAsia="仿宋" w:hAnsi="仿宋" w:hint="eastAsia"/>
          <w:sz w:val="28"/>
          <w:szCs w:val="28"/>
        </w:rPr>
        <w:t xml:space="preserve"> </w:t>
      </w:r>
      <w:r>
        <w:rPr>
          <w:rFonts w:ascii="仿宋" w:eastAsia="仿宋" w:hAnsi="仿宋" w:hint="eastAsia"/>
          <w:sz w:val="28"/>
          <w:szCs w:val="28"/>
        </w:rPr>
        <w:t>评审组织与程序</w:t>
      </w:r>
    </w:p>
    <w:p w:rsidR="0031351E" w:rsidRDefault="00702909">
      <w:pPr>
        <w:spacing w:line="360" w:lineRule="auto"/>
        <w:ind w:firstLineChars="200" w:firstLine="480"/>
        <w:jc w:val="left"/>
        <w:rPr>
          <w:rFonts w:ascii="仿宋" w:eastAsia="仿宋" w:hAnsi="仿宋"/>
          <w:sz w:val="24"/>
        </w:rPr>
      </w:pPr>
      <w:r>
        <w:rPr>
          <w:rFonts w:ascii="仿宋" w:eastAsia="仿宋" w:hAnsi="仿宋" w:hint="eastAsia"/>
          <w:sz w:val="24"/>
        </w:rPr>
        <w:t>第七条</w:t>
      </w:r>
      <w:r>
        <w:rPr>
          <w:rFonts w:ascii="仿宋" w:eastAsia="仿宋" w:hAnsi="仿宋" w:hint="eastAsia"/>
          <w:sz w:val="24"/>
        </w:rPr>
        <w:t xml:space="preserve"> </w:t>
      </w:r>
      <w:r>
        <w:rPr>
          <w:rFonts w:ascii="仿宋" w:eastAsia="仿宋" w:hAnsi="仿宋" w:hint="eastAsia"/>
          <w:sz w:val="24"/>
        </w:rPr>
        <w:t>学院成立由主要领导任主任委员，研究生导师、行政管理人员、学</w:t>
      </w:r>
      <w:r>
        <w:rPr>
          <w:rFonts w:ascii="仿宋" w:eastAsia="仿宋" w:hAnsi="仿宋" w:hint="eastAsia"/>
          <w:sz w:val="24"/>
        </w:rPr>
        <w:lastRenderedPageBreak/>
        <w:t>生代表任委员的研究生奖助金评审委员会，负责我院的研究生学业奖学金评定细则的制定、评审及发放。</w:t>
      </w:r>
    </w:p>
    <w:p w:rsidR="0031351E" w:rsidRDefault="00702909">
      <w:pPr>
        <w:spacing w:line="360" w:lineRule="auto"/>
        <w:ind w:firstLineChars="200" w:firstLine="480"/>
        <w:jc w:val="left"/>
        <w:rPr>
          <w:rFonts w:ascii="仿宋" w:eastAsia="仿宋" w:hAnsi="仿宋"/>
          <w:sz w:val="24"/>
        </w:rPr>
      </w:pPr>
      <w:r>
        <w:rPr>
          <w:rFonts w:ascii="仿宋" w:eastAsia="仿宋" w:hAnsi="仿宋" w:hint="eastAsia"/>
          <w:sz w:val="24"/>
        </w:rPr>
        <w:t>第八条</w:t>
      </w:r>
      <w:r>
        <w:rPr>
          <w:rFonts w:ascii="仿宋" w:eastAsia="仿宋" w:hAnsi="仿宋"/>
          <w:sz w:val="24"/>
        </w:rPr>
        <w:t xml:space="preserve"> </w:t>
      </w:r>
      <w:r>
        <w:rPr>
          <w:rFonts w:ascii="仿宋" w:eastAsia="仿宋" w:hAnsi="仿宋" w:hint="eastAsia"/>
          <w:sz w:val="24"/>
        </w:rPr>
        <w:t>新生第一学年的学业奖学金评定安排在完成所有类别研究生录取时进行，包括通过博士申请审核制、硕博连读、推免生及统一考试等各种途径录取的全部研究生。</w:t>
      </w:r>
    </w:p>
    <w:p w:rsidR="0031351E" w:rsidRDefault="00702909">
      <w:pPr>
        <w:spacing w:line="360" w:lineRule="auto"/>
        <w:ind w:firstLineChars="200" w:firstLine="480"/>
        <w:jc w:val="left"/>
        <w:rPr>
          <w:rFonts w:ascii="仿宋" w:eastAsia="仿宋" w:hAnsi="仿宋"/>
          <w:sz w:val="24"/>
        </w:rPr>
      </w:pPr>
      <w:r>
        <w:rPr>
          <w:rFonts w:ascii="仿宋" w:eastAsia="仿宋" w:hAnsi="仿宋" w:hint="eastAsia"/>
          <w:sz w:val="24"/>
        </w:rPr>
        <w:t>评定时重点考察研究生在入学前的综合情况，包括研究生初试成绩、复试成绩、录取总成绩及潜在的科研素质和综合能力等。</w:t>
      </w:r>
      <w:r>
        <w:rPr>
          <w:rFonts w:ascii="仿宋" w:eastAsia="仿宋" w:hAnsi="仿宋"/>
          <w:sz w:val="24"/>
        </w:rPr>
        <w:t xml:space="preserve"> </w:t>
      </w:r>
    </w:p>
    <w:p w:rsidR="0031351E" w:rsidRDefault="00702909">
      <w:pPr>
        <w:spacing w:line="360" w:lineRule="auto"/>
        <w:ind w:firstLineChars="200" w:firstLine="480"/>
        <w:jc w:val="left"/>
        <w:rPr>
          <w:rFonts w:ascii="仿宋" w:eastAsia="仿宋" w:hAnsi="仿宋"/>
          <w:sz w:val="24"/>
        </w:rPr>
      </w:pPr>
      <w:r>
        <w:rPr>
          <w:rFonts w:ascii="仿宋" w:eastAsia="仿宋" w:hAnsi="仿宋" w:hint="eastAsia"/>
          <w:sz w:val="24"/>
        </w:rPr>
        <w:t>第九条</w:t>
      </w:r>
      <w:r>
        <w:rPr>
          <w:rFonts w:ascii="仿宋" w:eastAsia="仿宋" w:hAnsi="仿宋" w:hint="eastAsia"/>
          <w:sz w:val="24"/>
        </w:rPr>
        <w:t xml:space="preserve"> </w:t>
      </w:r>
      <w:r>
        <w:rPr>
          <w:rFonts w:ascii="仿宋" w:eastAsia="仿宋" w:hAnsi="仿宋" w:hint="eastAsia"/>
          <w:sz w:val="24"/>
        </w:rPr>
        <w:t>在基本学制年限内，学业奖学金第二学年评定工作安排在第三学期进行，根据研究生在上一学年的</w:t>
      </w:r>
      <w:r>
        <w:rPr>
          <w:rFonts w:ascii="仿宋" w:eastAsia="仿宋" w:hAnsi="仿宋" w:hint="eastAsia"/>
          <w:sz w:val="24"/>
        </w:rPr>
        <w:t>学业成绩、学术成就、科研成果、社会服务以及助研、助教等情况，确定学业奖学金等级。第三学年评定工作安排在第五学期进行，根据研究生的学术成就、科研成果、社会服务等情况，确定学业奖学金等级。</w:t>
      </w:r>
    </w:p>
    <w:p w:rsidR="0031351E" w:rsidRDefault="00702909">
      <w:pPr>
        <w:adjustRightInd w:val="0"/>
        <w:snapToGrid w:val="0"/>
        <w:spacing w:line="360" w:lineRule="auto"/>
        <w:ind w:firstLine="420"/>
        <w:rPr>
          <w:rFonts w:ascii="仿宋" w:eastAsia="仿宋" w:hAnsi="仿宋"/>
          <w:sz w:val="24"/>
        </w:rPr>
      </w:pPr>
      <w:r>
        <w:rPr>
          <w:rFonts w:ascii="仿宋" w:eastAsia="仿宋" w:hAnsi="仿宋" w:hint="eastAsia"/>
          <w:sz w:val="24"/>
        </w:rPr>
        <w:t>第十条</w:t>
      </w:r>
      <w:r>
        <w:rPr>
          <w:rFonts w:ascii="仿宋" w:eastAsia="仿宋" w:hAnsi="仿宋" w:hint="eastAsia"/>
          <w:sz w:val="24"/>
        </w:rPr>
        <w:t xml:space="preserve"> </w:t>
      </w:r>
      <w:r>
        <w:rPr>
          <w:rFonts w:ascii="仿宋" w:eastAsia="仿宋" w:hAnsi="仿宋"/>
          <w:sz w:val="24"/>
        </w:rPr>
        <w:t>研究生</w:t>
      </w:r>
      <w:r>
        <w:rPr>
          <w:rFonts w:ascii="仿宋" w:eastAsia="仿宋" w:hAnsi="仿宋" w:hint="eastAsia"/>
          <w:sz w:val="24"/>
        </w:rPr>
        <w:t>在上一学年有下列情况之一者，取消学业奖学金评选资格，停止学业奖学金的发放：</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）在提交的申请材料中，提供不实信息或隐瞒不利信息的；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）有学术不端行为或思想道德问题的；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）有课程成绩需重修或补考的；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）中期考核学位课平均成绩低于</w:t>
      </w:r>
      <w:r>
        <w:rPr>
          <w:rFonts w:ascii="仿宋" w:eastAsia="仿宋" w:hAnsi="仿宋" w:hint="eastAsia"/>
          <w:sz w:val="24"/>
        </w:rPr>
        <w:t>75</w:t>
      </w:r>
      <w:r>
        <w:rPr>
          <w:rFonts w:ascii="仿宋" w:eastAsia="仿宋" w:hAnsi="仿宋" w:hint="eastAsia"/>
          <w:sz w:val="24"/>
        </w:rPr>
        <w:t>分的；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）违纪、违规行为受到行政处分的；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）培养单位对研究生</w:t>
      </w:r>
      <w:r>
        <w:rPr>
          <w:rFonts w:ascii="仿宋" w:eastAsia="仿宋" w:hAnsi="仿宋" w:hint="eastAsia"/>
          <w:sz w:val="24"/>
        </w:rPr>
        <w:t>考核评价不合格的；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）无故不按时报到注册的；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8</w:t>
      </w:r>
      <w:r>
        <w:rPr>
          <w:rFonts w:ascii="仿宋" w:eastAsia="仿宋" w:hAnsi="仿宋" w:hint="eastAsia"/>
          <w:sz w:val="24"/>
        </w:rPr>
        <w:t>）无故不参加校、院、</w:t>
      </w:r>
      <w:proofErr w:type="gramStart"/>
      <w:r>
        <w:rPr>
          <w:rFonts w:ascii="仿宋" w:eastAsia="仿宋" w:hAnsi="仿宋" w:hint="eastAsia"/>
          <w:sz w:val="24"/>
        </w:rPr>
        <w:t>系规定</w:t>
      </w:r>
      <w:proofErr w:type="gramEnd"/>
      <w:r>
        <w:rPr>
          <w:rFonts w:ascii="仿宋" w:eastAsia="仿宋" w:hAnsi="仿宋" w:hint="eastAsia"/>
          <w:sz w:val="24"/>
        </w:rPr>
        <w:t>的集体活动的，造成严重影响的；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9</w:t>
      </w:r>
      <w:r>
        <w:rPr>
          <w:rFonts w:ascii="仿宋" w:eastAsia="仿宋" w:hAnsi="仿宋" w:hint="eastAsia"/>
          <w:sz w:val="24"/>
        </w:rPr>
        <w:t>）未经导师和单位同意擅自在校外兼职的，造成严重影响的；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10</w:t>
      </w:r>
      <w:r>
        <w:rPr>
          <w:rFonts w:ascii="仿宋" w:eastAsia="仿宋" w:hAnsi="仿宋" w:hint="eastAsia"/>
          <w:sz w:val="24"/>
        </w:rPr>
        <w:t>）在科研工作和实践环节中造成重大事故及损失的；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11</w:t>
      </w:r>
      <w:r>
        <w:rPr>
          <w:rFonts w:ascii="仿宋" w:eastAsia="仿宋" w:hAnsi="仿宋" w:hint="eastAsia"/>
          <w:sz w:val="24"/>
        </w:rPr>
        <w:t>）参加非法组织及活动的；</w:t>
      </w:r>
    </w:p>
    <w:p w:rsidR="0031351E" w:rsidRDefault="00702909">
      <w:pPr>
        <w:spacing w:line="360" w:lineRule="auto"/>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12</w:t>
      </w:r>
      <w:r>
        <w:rPr>
          <w:rFonts w:ascii="仿宋" w:eastAsia="仿宋" w:hAnsi="仿宋" w:hint="eastAsia"/>
          <w:sz w:val="24"/>
        </w:rPr>
        <w:t>）有其他违法违纪行为的。</w:t>
      </w:r>
    </w:p>
    <w:p w:rsidR="0031351E" w:rsidRDefault="00702909">
      <w:pPr>
        <w:spacing w:line="360" w:lineRule="auto"/>
        <w:ind w:firstLine="480"/>
        <w:rPr>
          <w:rFonts w:ascii="仿宋" w:eastAsia="仿宋" w:hAnsi="仿宋"/>
          <w:sz w:val="24"/>
        </w:rPr>
      </w:pPr>
      <w:r>
        <w:rPr>
          <w:rFonts w:ascii="仿宋" w:eastAsia="仿宋" w:hAnsi="仿宋" w:hint="eastAsia"/>
          <w:sz w:val="24"/>
        </w:rPr>
        <w:t>第十一条</w:t>
      </w:r>
      <w:r>
        <w:rPr>
          <w:rFonts w:ascii="仿宋" w:eastAsia="仿宋" w:hAnsi="仿宋" w:hint="eastAsia"/>
          <w:sz w:val="24"/>
        </w:rPr>
        <w:t xml:space="preserve"> </w:t>
      </w:r>
      <w:r>
        <w:rPr>
          <w:rFonts w:ascii="仿宋" w:eastAsia="仿宋" w:hAnsi="仿宋" w:hint="eastAsia"/>
          <w:sz w:val="24"/>
        </w:rPr>
        <w:t>获得研究生学业奖学金奖励的研究生，当年可以同时获得研究生国家奖学金、研究生国家助学金等其他研究生国家奖助政策以及校内其他研究生奖助政策资助。</w:t>
      </w:r>
    </w:p>
    <w:p w:rsidR="0031351E" w:rsidRDefault="00702909">
      <w:pPr>
        <w:spacing w:line="360" w:lineRule="auto"/>
        <w:ind w:firstLineChars="200" w:firstLine="480"/>
        <w:jc w:val="left"/>
        <w:rPr>
          <w:rFonts w:ascii="仿宋" w:eastAsia="仿宋" w:hAnsi="仿宋"/>
          <w:sz w:val="24"/>
        </w:rPr>
      </w:pPr>
      <w:r>
        <w:rPr>
          <w:rFonts w:ascii="仿宋" w:eastAsia="仿宋" w:hAnsi="仿宋" w:hint="eastAsia"/>
          <w:sz w:val="24"/>
        </w:rPr>
        <w:lastRenderedPageBreak/>
        <w:t>第十二条</w:t>
      </w:r>
      <w:r>
        <w:rPr>
          <w:rFonts w:ascii="仿宋" w:eastAsia="仿宋" w:hAnsi="仿宋" w:hint="eastAsia"/>
          <w:sz w:val="24"/>
        </w:rPr>
        <w:t xml:space="preserve"> </w:t>
      </w:r>
      <w:r>
        <w:rPr>
          <w:rFonts w:ascii="仿宋" w:eastAsia="仿宋" w:hAnsi="仿宋" w:hint="eastAsia"/>
          <w:sz w:val="24"/>
        </w:rPr>
        <w:t>在评审年度如取得下列成果之一，可申请一等学业奖学金：</w:t>
      </w:r>
      <w:r>
        <w:rPr>
          <w:rFonts w:ascii="仿宋" w:eastAsia="仿宋" w:hAnsi="仿宋"/>
          <w:sz w:val="24"/>
        </w:rPr>
        <w:t xml:space="preserve"> </w:t>
      </w:r>
    </w:p>
    <w:p w:rsidR="0031351E" w:rsidRDefault="00702909">
      <w:pPr>
        <w:spacing w:line="360" w:lineRule="auto"/>
        <w:ind w:firstLineChars="200" w:firstLine="480"/>
        <w:jc w:val="left"/>
        <w:rPr>
          <w:rFonts w:ascii="仿宋" w:eastAsia="仿宋" w:hAnsi="仿宋"/>
          <w:sz w:val="24"/>
        </w:rPr>
      </w:pPr>
      <w:r>
        <w:rPr>
          <w:rFonts w:ascii="仿宋" w:eastAsia="仿宋" w:hAnsi="仿宋"/>
          <w:sz w:val="24"/>
        </w:rPr>
        <w:t>(1</w:t>
      </w:r>
      <w:r>
        <w:rPr>
          <w:rFonts w:ascii="仿宋" w:eastAsia="仿宋" w:hAnsi="仿宋"/>
          <w:sz w:val="24"/>
        </w:rPr>
        <w:t>)</w:t>
      </w:r>
      <w:r>
        <w:rPr>
          <w:rFonts w:ascii="仿宋" w:eastAsia="仿宋" w:hAnsi="仿宋" w:hint="eastAsia"/>
          <w:sz w:val="24"/>
        </w:rPr>
        <w:t>博士在本学科、专</w:t>
      </w:r>
      <w:r>
        <w:rPr>
          <w:rFonts w:ascii="仿宋" w:eastAsia="仿宋" w:hAnsi="仿宋" w:hint="eastAsia"/>
          <w:color w:val="000000" w:themeColor="text1"/>
          <w:sz w:val="24"/>
        </w:rPr>
        <w:t>业领域的</w:t>
      </w:r>
      <w:r>
        <w:rPr>
          <w:rFonts w:ascii="仿宋" w:eastAsia="仿宋" w:hAnsi="仿宋" w:hint="eastAsia"/>
          <w:color w:val="000000" w:themeColor="text1"/>
          <w:sz w:val="24"/>
        </w:rPr>
        <w:t>A</w:t>
      </w:r>
      <w:r>
        <w:rPr>
          <w:rFonts w:ascii="仿宋" w:eastAsia="仿宋" w:hAnsi="仿宋" w:hint="eastAsia"/>
          <w:color w:val="000000" w:themeColor="text1"/>
          <w:sz w:val="24"/>
        </w:rPr>
        <w:t>类及以上刊物发表至少</w:t>
      </w:r>
      <w:r>
        <w:rPr>
          <w:rFonts w:ascii="仿宋" w:eastAsia="仿宋" w:hAnsi="仿宋"/>
          <w:color w:val="000000" w:themeColor="text1"/>
          <w:sz w:val="24"/>
        </w:rPr>
        <w:t>1</w:t>
      </w:r>
      <w:r>
        <w:rPr>
          <w:rFonts w:ascii="仿宋" w:eastAsia="仿宋" w:hAnsi="仿宋" w:hint="eastAsia"/>
          <w:color w:val="000000" w:themeColor="text1"/>
          <w:sz w:val="24"/>
        </w:rPr>
        <w:t>篇学术论文，硕士在本学科、专业领域的</w:t>
      </w:r>
      <w:r>
        <w:rPr>
          <w:rFonts w:ascii="仿宋" w:eastAsia="仿宋" w:hAnsi="仿宋" w:hint="eastAsia"/>
          <w:color w:val="000000" w:themeColor="text1"/>
          <w:sz w:val="24"/>
        </w:rPr>
        <w:t>B</w:t>
      </w:r>
      <w:r>
        <w:rPr>
          <w:rFonts w:ascii="仿宋" w:eastAsia="仿宋" w:hAnsi="仿宋"/>
          <w:color w:val="000000" w:themeColor="text1"/>
          <w:sz w:val="24"/>
        </w:rPr>
        <w:t>1</w:t>
      </w:r>
      <w:r>
        <w:rPr>
          <w:rFonts w:ascii="仿宋" w:eastAsia="仿宋" w:hAnsi="仿宋" w:hint="eastAsia"/>
          <w:color w:val="000000" w:themeColor="text1"/>
          <w:sz w:val="24"/>
        </w:rPr>
        <w:t>类及以</w:t>
      </w:r>
      <w:r>
        <w:rPr>
          <w:rFonts w:ascii="仿宋" w:eastAsia="仿宋" w:hAnsi="仿宋" w:hint="eastAsia"/>
          <w:sz w:val="24"/>
        </w:rPr>
        <w:t>上刊物发表至少</w:t>
      </w:r>
      <w:r>
        <w:rPr>
          <w:rFonts w:ascii="仿宋" w:eastAsia="仿宋" w:hAnsi="仿宋"/>
          <w:sz w:val="24"/>
        </w:rPr>
        <w:t>1</w:t>
      </w:r>
      <w:r>
        <w:rPr>
          <w:rFonts w:ascii="仿宋" w:eastAsia="仿宋" w:hAnsi="仿宋" w:hint="eastAsia"/>
          <w:sz w:val="24"/>
        </w:rPr>
        <w:t>篇学术论文（外文</w:t>
      </w:r>
      <w:r>
        <w:rPr>
          <w:rFonts w:ascii="仿宋" w:eastAsia="仿宋" w:hAnsi="仿宋"/>
          <w:sz w:val="24"/>
        </w:rPr>
        <w:t>的</w:t>
      </w:r>
      <w:r>
        <w:rPr>
          <w:rFonts w:ascii="仿宋" w:eastAsia="仿宋" w:hAnsi="仿宋" w:hint="eastAsia"/>
          <w:sz w:val="24"/>
        </w:rPr>
        <w:t>非</w:t>
      </w:r>
      <w:r>
        <w:rPr>
          <w:rFonts w:ascii="仿宋" w:eastAsia="仿宋" w:hAnsi="仿宋" w:hint="eastAsia"/>
          <w:sz w:val="24"/>
        </w:rPr>
        <w:t>A</w:t>
      </w:r>
      <w:r>
        <w:rPr>
          <w:rFonts w:ascii="仿宋" w:eastAsia="仿宋" w:hAnsi="仿宋" w:hint="eastAsia"/>
          <w:sz w:val="24"/>
        </w:rPr>
        <w:t>类</w:t>
      </w:r>
      <w:r>
        <w:rPr>
          <w:rFonts w:ascii="仿宋" w:eastAsia="仿宋" w:hAnsi="仿宋"/>
          <w:sz w:val="24"/>
        </w:rPr>
        <w:t>刊物不能参</w:t>
      </w:r>
      <w:r>
        <w:rPr>
          <w:rFonts w:ascii="仿宋" w:eastAsia="仿宋" w:hAnsi="仿宋" w:hint="eastAsia"/>
          <w:sz w:val="24"/>
        </w:rPr>
        <w:t>评）；</w:t>
      </w:r>
    </w:p>
    <w:p w:rsidR="0031351E" w:rsidRDefault="00702909">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获得发明、专利授权；</w:t>
      </w:r>
    </w:p>
    <w:p w:rsidR="0031351E" w:rsidRDefault="00702909">
      <w:pPr>
        <w:spacing w:line="360" w:lineRule="auto"/>
        <w:ind w:firstLineChars="200" w:firstLine="480"/>
        <w:jc w:val="left"/>
        <w:rPr>
          <w:rFonts w:ascii="仿宋" w:eastAsia="仿宋" w:hAnsi="仿宋"/>
          <w:sz w:val="24"/>
        </w:rPr>
      </w:pPr>
      <w:r>
        <w:rPr>
          <w:rFonts w:ascii="仿宋" w:eastAsia="仿宋" w:hAnsi="仿宋"/>
          <w:sz w:val="24"/>
        </w:rPr>
        <w:t>(3)</w:t>
      </w:r>
      <w:r w:rsidR="00FE0CA4" w:rsidRPr="00FE0CA4">
        <w:rPr>
          <w:rFonts w:hint="eastAsia"/>
          <w:sz w:val="24"/>
          <w:highlight w:val="yellow"/>
        </w:rPr>
        <w:t xml:space="preserve"> </w:t>
      </w:r>
      <w:r w:rsidR="00FE0CA4" w:rsidRPr="00FE0CA4">
        <w:rPr>
          <w:rFonts w:ascii="仿宋" w:eastAsia="仿宋" w:hAnsi="仿宋" w:hint="eastAsia"/>
          <w:sz w:val="24"/>
          <w:highlight w:val="yellow"/>
        </w:rPr>
        <w:t>参加挑战杯、创新创业大赛等同等级别的比赛并获省级及以上奖励，参加全国专业</w:t>
      </w:r>
      <w:proofErr w:type="gramStart"/>
      <w:r w:rsidR="00FE0CA4" w:rsidRPr="00FE0CA4">
        <w:rPr>
          <w:rFonts w:ascii="仿宋" w:eastAsia="仿宋" w:hAnsi="仿宋" w:hint="eastAsia"/>
          <w:sz w:val="24"/>
          <w:highlight w:val="yellow"/>
        </w:rPr>
        <w:t>学位教指委</w:t>
      </w:r>
      <w:proofErr w:type="gramEnd"/>
      <w:r w:rsidR="00FE0CA4" w:rsidRPr="00FE0CA4">
        <w:rPr>
          <w:rFonts w:ascii="仿宋" w:eastAsia="仿宋" w:hAnsi="仿宋" w:hint="eastAsia"/>
          <w:sz w:val="24"/>
          <w:highlight w:val="yellow"/>
        </w:rPr>
        <w:t>主办的各专业领域的竞赛并获奖励</w:t>
      </w:r>
      <w:r w:rsidRPr="00FE0CA4">
        <w:rPr>
          <w:rFonts w:ascii="仿宋" w:eastAsia="仿宋" w:hAnsi="仿宋" w:hint="eastAsia"/>
          <w:sz w:val="24"/>
          <w:highlight w:val="yellow"/>
        </w:rPr>
        <w:t>；</w:t>
      </w:r>
    </w:p>
    <w:p w:rsidR="0031351E" w:rsidRDefault="00702909">
      <w:pPr>
        <w:spacing w:line="360" w:lineRule="auto"/>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 xml:space="preserve"> </w:t>
      </w:r>
      <w:r>
        <w:rPr>
          <w:rFonts w:ascii="仿宋" w:eastAsia="仿宋" w:hAnsi="仿宋" w:hint="eastAsia"/>
          <w:sz w:val="24"/>
        </w:rPr>
        <w:t>获得省部级及以上科研成果奖励。</w:t>
      </w:r>
    </w:p>
    <w:p w:rsidR="0031351E" w:rsidRDefault="00702909">
      <w:pPr>
        <w:spacing w:line="360" w:lineRule="auto"/>
        <w:ind w:firstLineChars="200" w:firstLine="480"/>
        <w:jc w:val="left"/>
        <w:rPr>
          <w:rFonts w:ascii="仿宋" w:eastAsia="仿宋" w:hAnsi="仿宋"/>
          <w:sz w:val="24"/>
        </w:rPr>
      </w:pPr>
      <w:r>
        <w:rPr>
          <w:rFonts w:ascii="仿宋" w:eastAsia="仿宋" w:hAnsi="仿宋" w:hint="eastAsia"/>
          <w:sz w:val="24"/>
          <w:highlight w:val="yellow"/>
        </w:rPr>
        <w:t>注：所有</w:t>
      </w:r>
      <w:r>
        <w:rPr>
          <w:rFonts w:ascii="仿宋" w:eastAsia="仿宋" w:hAnsi="仿宋" w:hint="eastAsia"/>
          <w:sz w:val="24"/>
          <w:highlight w:val="yellow"/>
        </w:rPr>
        <w:t>成果</w:t>
      </w:r>
      <w:proofErr w:type="gramStart"/>
      <w:r>
        <w:rPr>
          <w:rFonts w:ascii="仿宋" w:eastAsia="仿宋" w:hAnsi="仿宋" w:hint="eastAsia"/>
          <w:sz w:val="24"/>
          <w:highlight w:val="yellow"/>
        </w:rPr>
        <w:t>须学生</w:t>
      </w:r>
      <w:proofErr w:type="gramEnd"/>
      <w:r>
        <w:rPr>
          <w:rFonts w:ascii="仿宋" w:eastAsia="仿宋" w:hAnsi="仿宋" w:hint="eastAsia"/>
          <w:sz w:val="24"/>
          <w:highlight w:val="yellow"/>
        </w:rPr>
        <w:t>第一作者或导师第一作者，学生第二作者，且导师</w:t>
      </w:r>
      <w:r>
        <w:rPr>
          <w:rFonts w:ascii="仿宋" w:eastAsia="仿宋" w:hAnsi="仿宋"/>
          <w:sz w:val="24"/>
          <w:highlight w:val="yellow"/>
        </w:rPr>
        <w:t>和学生的</w:t>
      </w:r>
      <w:r>
        <w:rPr>
          <w:rFonts w:ascii="仿宋" w:eastAsia="仿宋" w:hAnsi="仿宋" w:hint="eastAsia"/>
          <w:sz w:val="24"/>
          <w:highlight w:val="yellow"/>
        </w:rPr>
        <w:t>第一</w:t>
      </w:r>
      <w:r>
        <w:rPr>
          <w:rFonts w:ascii="仿宋" w:eastAsia="仿宋" w:hAnsi="仿宋" w:hint="eastAsia"/>
          <w:sz w:val="24"/>
          <w:highlight w:val="yellow"/>
        </w:rPr>
        <w:t>署名单位</w:t>
      </w:r>
      <w:r>
        <w:rPr>
          <w:rFonts w:ascii="仿宋" w:eastAsia="仿宋" w:hAnsi="仿宋" w:hint="eastAsia"/>
          <w:sz w:val="24"/>
          <w:highlight w:val="yellow"/>
        </w:rPr>
        <w:t>必须</w:t>
      </w:r>
      <w:r>
        <w:rPr>
          <w:rFonts w:ascii="仿宋" w:eastAsia="仿宋" w:hAnsi="仿宋" w:hint="eastAsia"/>
          <w:sz w:val="24"/>
          <w:highlight w:val="yellow"/>
        </w:rPr>
        <w:t>为暨南大学</w:t>
      </w:r>
      <w:r>
        <w:rPr>
          <w:rFonts w:ascii="仿宋" w:eastAsia="仿宋" w:hAnsi="仿宋" w:hint="eastAsia"/>
          <w:sz w:val="24"/>
          <w:highlight w:val="yellow"/>
        </w:rPr>
        <w:t>；</w:t>
      </w:r>
      <w:r>
        <w:rPr>
          <w:rFonts w:ascii="仿宋" w:eastAsia="仿宋" w:hAnsi="仿宋" w:hint="eastAsia"/>
          <w:sz w:val="24"/>
          <w:highlight w:val="yellow"/>
        </w:rPr>
        <w:t>团队项目须提供团队成员贡献度</w:t>
      </w:r>
      <w:r w:rsidR="008A240D">
        <w:rPr>
          <w:rFonts w:ascii="仿宋" w:eastAsia="仿宋" w:hAnsi="仿宋" w:hint="eastAsia"/>
          <w:sz w:val="24"/>
          <w:highlight w:val="yellow"/>
        </w:rPr>
        <w:t>排序</w:t>
      </w:r>
      <w:r>
        <w:rPr>
          <w:rFonts w:ascii="仿宋" w:eastAsia="仿宋" w:hAnsi="仿宋" w:hint="eastAsia"/>
          <w:sz w:val="24"/>
          <w:highlight w:val="yellow"/>
        </w:rPr>
        <w:t>等证明材料，若不能提供，则平均分配</w:t>
      </w:r>
      <w:r w:rsidR="008A240D">
        <w:rPr>
          <w:rFonts w:ascii="仿宋" w:eastAsia="仿宋" w:hAnsi="仿宋" w:hint="eastAsia"/>
          <w:sz w:val="24"/>
          <w:highlight w:val="yellow"/>
        </w:rPr>
        <w:t>贡献</w:t>
      </w:r>
      <w:r>
        <w:rPr>
          <w:rFonts w:ascii="仿宋" w:eastAsia="仿宋" w:hAnsi="仿宋" w:hint="eastAsia"/>
          <w:sz w:val="24"/>
          <w:highlight w:val="yellow"/>
        </w:rPr>
        <w:t>度；</w:t>
      </w:r>
      <w:r>
        <w:rPr>
          <w:rFonts w:ascii="仿宋" w:eastAsia="仿宋" w:hAnsi="仿宋" w:hint="eastAsia"/>
          <w:sz w:val="24"/>
        </w:rPr>
        <w:t>在学</w:t>
      </w:r>
      <w:bookmarkStart w:id="0" w:name="_GoBack"/>
      <w:bookmarkEnd w:id="0"/>
      <w:r>
        <w:rPr>
          <w:rFonts w:ascii="仿宋" w:eastAsia="仿宋" w:hAnsi="仿宋" w:hint="eastAsia"/>
          <w:sz w:val="24"/>
        </w:rPr>
        <w:t>期间，学术成果不能重复使用于学业奖学金的评选，</w:t>
      </w:r>
      <w:r>
        <w:rPr>
          <w:rFonts w:ascii="仿宋" w:eastAsia="仿宋" w:hAnsi="仿宋"/>
          <w:sz w:val="24"/>
          <w:highlight w:val="yellow"/>
        </w:rPr>
        <w:t>成果</w:t>
      </w:r>
      <w:r>
        <w:rPr>
          <w:rFonts w:ascii="仿宋" w:eastAsia="仿宋" w:hAnsi="仿宋" w:hint="eastAsia"/>
          <w:sz w:val="24"/>
          <w:highlight w:val="yellow"/>
        </w:rPr>
        <w:t>时间范围为上一年</w:t>
      </w:r>
      <w:r>
        <w:rPr>
          <w:rFonts w:ascii="仿宋" w:eastAsia="仿宋" w:hAnsi="仿宋" w:hint="eastAsia"/>
          <w:sz w:val="24"/>
          <w:highlight w:val="yellow"/>
        </w:rPr>
        <w:t>9</w:t>
      </w:r>
      <w:r>
        <w:rPr>
          <w:rFonts w:ascii="仿宋" w:eastAsia="仿宋" w:hAnsi="仿宋" w:hint="eastAsia"/>
          <w:sz w:val="24"/>
          <w:highlight w:val="yellow"/>
        </w:rPr>
        <w:t>月</w:t>
      </w:r>
      <w:r>
        <w:rPr>
          <w:rFonts w:ascii="仿宋" w:eastAsia="仿宋" w:hAnsi="仿宋" w:hint="eastAsia"/>
          <w:sz w:val="24"/>
          <w:highlight w:val="yellow"/>
        </w:rPr>
        <w:t>1</w:t>
      </w:r>
      <w:r>
        <w:rPr>
          <w:rFonts w:ascii="仿宋" w:eastAsia="仿宋" w:hAnsi="仿宋" w:hint="eastAsia"/>
          <w:sz w:val="24"/>
          <w:highlight w:val="yellow"/>
        </w:rPr>
        <w:t>日至评选当年</w:t>
      </w:r>
      <w:r>
        <w:rPr>
          <w:rFonts w:ascii="仿宋" w:eastAsia="仿宋" w:hAnsi="仿宋" w:hint="eastAsia"/>
          <w:sz w:val="24"/>
          <w:highlight w:val="yellow"/>
        </w:rPr>
        <w:t>8</w:t>
      </w:r>
      <w:r>
        <w:rPr>
          <w:rFonts w:ascii="仿宋" w:eastAsia="仿宋" w:hAnsi="仿宋" w:hint="eastAsia"/>
          <w:sz w:val="24"/>
          <w:highlight w:val="yellow"/>
        </w:rPr>
        <w:t>月</w:t>
      </w:r>
      <w:r>
        <w:rPr>
          <w:rFonts w:ascii="仿宋" w:eastAsia="仿宋" w:hAnsi="仿宋" w:hint="eastAsia"/>
          <w:sz w:val="24"/>
          <w:highlight w:val="yellow"/>
        </w:rPr>
        <w:t>3</w:t>
      </w:r>
      <w:r>
        <w:rPr>
          <w:rFonts w:ascii="仿宋" w:eastAsia="仿宋" w:hAnsi="仿宋"/>
          <w:sz w:val="24"/>
          <w:highlight w:val="yellow"/>
        </w:rPr>
        <w:t>1</w:t>
      </w:r>
      <w:r>
        <w:rPr>
          <w:rFonts w:ascii="仿宋" w:eastAsia="仿宋" w:hAnsi="仿宋" w:hint="eastAsia"/>
          <w:sz w:val="24"/>
          <w:highlight w:val="yellow"/>
        </w:rPr>
        <w:t>日</w:t>
      </w:r>
      <w:r>
        <w:rPr>
          <w:rFonts w:ascii="仿宋" w:eastAsia="仿宋" w:hAnsi="仿宋"/>
          <w:sz w:val="24"/>
          <w:highlight w:val="yellow"/>
        </w:rPr>
        <w:t>（</w:t>
      </w:r>
      <w:r>
        <w:rPr>
          <w:rFonts w:ascii="仿宋" w:eastAsia="仿宋" w:hAnsi="仿宋" w:hint="eastAsia"/>
          <w:sz w:val="24"/>
          <w:highlight w:val="yellow"/>
        </w:rPr>
        <w:t>以</w:t>
      </w:r>
      <w:r>
        <w:rPr>
          <w:rFonts w:ascii="仿宋" w:eastAsia="仿宋" w:hAnsi="仿宋"/>
          <w:sz w:val="24"/>
          <w:highlight w:val="yellow"/>
        </w:rPr>
        <w:t>期刊的出版日期或</w:t>
      </w:r>
      <w:r>
        <w:rPr>
          <w:rFonts w:ascii="仿宋" w:eastAsia="仿宋" w:hAnsi="仿宋" w:hint="eastAsia"/>
          <w:sz w:val="24"/>
          <w:highlight w:val="yellow"/>
        </w:rPr>
        <w:t>成果</w:t>
      </w:r>
      <w:r>
        <w:rPr>
          <w:rFonts w:ascii="仿宋" w:eastAsia="仿宋" w:hAnsi="仿宋"/>
          <w:sz w:val="24"/>
          <w:highlight w:val="yellow"/>
        </w:rPr>
        <w:t>落款的时间为准。）</w:t>
      </w:r>
    </w:p>
    <w:p w:rsidR="0031351E" w:rsidRDefault="00702909">
      <w:pPr>
        <w:adjustRightInd w:val="0"/>
        <w:snapToGrid w:val="0"/>
        <w:spacing w:line="360" w:lineRule="auto"/>
        <w:ind w:firstLineChars="196" w:firstLine="470"/>
        <w:jc w:val="left"/>
        <w:rPr>
          <w:rFonts w:ascii="仿宋" w:eastAsia="仿宋" w:hAnsi="仿宋"/>
          <w:sz w:val="24"/>
          <w:szCs w:val="24"/>
        </w:rPr>
      </w:pPr>
      <w:r>
        <w:rPr>
          <w:rFonts w:ascii="仿宋" w:eastAsia="仿宋" w:hAnsi="仿宋" w:hint="eastAsia"/>
          <w:sz w:val="24"/>
        </w:rPr>
        <w:t>第十三条</w:t>
      </w:r>
      <w:r>
        <w:rPr>
          <w:rFonts w:ascii="仿宋" w:eastAsia="仿宋" w:hAnsi="仿宋" w:hint="eastAsia"/>
          <w:sz w:val="24"/>
        </w:rPr>
        <w:t xml:space="preserve">  </w:t>
      </w:r>
      <w:r>
        <w:rPr>
          <w:rFonts w:ascii="仿宋" w:eastAsia="仿宋" w:hAnsi="仿宋"/>
          <w:sz w:val="24"/>
          <w:szCs w:val="24"/>
        </w:rPr>
        <w:t>由研究生本人填报《研究生奖</w:t>
      </w:r>
      <w:r>
        <w:rPr>
          <w:rFonts w:ascii="仿宋" w:eastAsia="仿宋" w:hAnsi="仿宋" w:hint="eastAsia"/>
          <w:sz w:val="24"/>
          <w:szCs w:val="24"/>
        </w:rPr>
        <w:t>学</w:t>
      </w:r>
      <w:r>
        <w:rPr>
          <w:rFonts w:ascii="仿宋" w:eastAsia="仿宋" w:hAnsi="仿宋"/>
          <w:sz w:val="24"/>
          <w:szCs w:val="24"/>
        </w:rPr>
        <w:t>金申请表》，同时提交发表论文、申请专利、获奖等相关材料的原件与复印件。</w:t>
      </w:r>
    </w:p>
    <w:p w:rsidR="0031351E" w:rsidRDefault="00702909">
      <w:pPr>
        <w:adjustRightInd w:val="0"/>
        <w:snapToGrid w:val="0"/>
        <w:spacing w:line="360" w:lineRule="auto"/>
        <w:ind w:firstLineChars="196" w:firstLine="470"/>
        <w:jc w:val="left"/>
        <w:rPr>
          <w:rFonts w:ascii="仿宋" w:eastAsia="仿宋" w:hAnsi="仿宋"/>
          <w:sz w:val="24"/>
          <w:szCs w:val="24"/>
        </w:rPr>
      </w:pPr>
      <w:r>
        <w:rPr>
          <w:rFonts w:ascii="仿宋" w:eastAsia="仿宋" w:hAnsi="仿宋" w:hint="eastAsia"/>
          <w:sz w:val="24"/>
          <w:szCs w:val="24"/>
        </w:rPr>
        <w:t>第十四条</w:t>
      </w:r>
      <w:r>
        <w:rPr>
          <w:rFonts w:ascii="仿宋" w:eastAsia="仿宋" w:hAnsi="仿宋" w:hint="eastAsia"/>
          <w:sz w:val="24"/>
          <w:szCs w:val="24"/>
        </w:rPr>
        <w:t xml:space="preserve"> </w:t>
      </w:r>
      <w:r>
        <w:rPr>
          <w:rFonts w:ascii="仿宋" w:eastAsia="仿宋" w:hAnsi="仿宋"/>
          <w:sz w:val="24"/>
          <w:szCs w:val="24"/>
        </w:rPr>
        <w:t>各系</w:t>
      </w:r>
      <w:r>
        <w:rPr>
          <w:rFonts w:ascii="仿宋" w:eastAsia="仿宋" w:hAnsi="仿宋" w:hint="eastAsia"/>
          <w:sz w:val="24"/>
          <w:szCs w:val="24"/>
        </w:rPr>
        <w:t>（</w:t>
      </w:r>
      <w:r>
        <w:rPr>
          <w:rFonts w:ascii="仿宋" w:eastAsia="仿宋" w:hAnsi="仿宋"/>
          <w:sz w:val="24"/>
          <w:szCs w:val="24"/>
        </w:rPr>
        <w:t>所</w:t>
      </w: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导师及学科建设与</w:t>
      </w:r>
      <w:r>
        <w:rPr>
          <w:rFonts w:ascii="仿宋" w:eastAsia="仿宋" w:hAnsi="仿宋"/>
          <w:sz w:val="24"/>
          <w:szCs w:val="24"/>
        </w:rPr>
        <w:t>研究生</w:t>
      </w:r>
      <w:r>
        <w:rPr>
          <w:rFonts w:ascii="仿宋" w:eastAsia="仿宋" w:hAnsi="仿宋" w:hint="eastAsia"/>
          <w:sz w:val="24"/>
          <w:szCs w:val="24"/>
        </w:rPr>
        <w:t>培养</w:t>
      </w:r>
      <w:r>
        <w:rPr>
          <w:rFonts w:ascii="仿宋" w:eastAsia="仿宋" w:hAnsi="仿宋"/>
          <w:sz w:val="24"/>
          <w:szCs w:val="24"/>
        </w:rPr>
        <w:t>办公室对参加奖学金评定的研究生</w:t>
      </w:r>
      <w:r>
        <w:rPr>
          <w:rFonts w:ascii="仿宋" w:eastAsia="仿宋" w:hAnsi="仿宋" w:hint="eastAsia"/>
          <w:sz w:val="24"/>
          <w:szCs w:val="24"/>
        </w:rPr>
        <w:t>的申请材料</w:t>
      </w:r>
      <w:r>
        <w:rPr>
          <w:rFonts w:ascii="仿宋" w:eastAsia="仿宋" w:hAnsi="仿宋"/>
          <w:sz w:val="24"/>
          <w:szCs w:val="24"/>
        </w:rPr>
        <w:t>进行审核</w:t>
      </w:r>
      <w:r>
        <w:rPr>
          <w:rFonts w:ascii="仿宋" w:eastAsia="仿宋" w:hAnsi="仿宋" w:hint="eastAsia"/>
          <w:sz w:val="24"/>
          <w:szCs w:val="24"/>
        </w:rPr>
        <w:t>并进行考核评定</w:t>
      </w:r>
      <w:r>
        <w:rPr>
          <w:rFonts w:ascii="仿宋" w:eastAsia="仿宋" w:hAnsi="仿宋"/>
          <w:sz w:val="24"/>
          <w:szCs w:val="24"/>
        </w:rPr>
        <w:t>。</w:t>
      </w:r>
    </w:p>
    <w:p w:rsidR="0031351E" w:rsidRDefault="00702909">
      <w:pPr>
        <w:adjustRightInd w:val="0"/>
        <w:snapToGrid w:val="0"/>
        <w:spacing w:line="360" w:lineRule="auto"/>
        <w:ind w:firstLineChars="196" w:firstLine="470"/>
        <w:jc w:val="left"/>
        <w:rPr>
          <w:rFonts w:ascii="仿宋" w:eastAsia="仿宋" w:hAnsi="仿宋"/>
          <w:sz w:val="24"/>
          <w:szCs w:val="24"/>
          <w:highlight w:val="yellow"/>
        </w:rPr>
      </w:pPr>
      <w:r>
        <w:rPr>
          <w:rFonts w:ascii="仿宋" w:eastAsia="仿宋" w:hAnsi="仿宋" w:hint="eastAsia"/>
          <w:sz w:val="24"/>
          <w:szCs w:val="24"/>
        </w:rPr>
        <w:t>第十五条</w:t>
      </w:r>
      <w:r>
        <w:rPr>
          <w:rFonts w:ascii="仿宋" w:eastAsia="仿宋" w:hAnsi="仿宋" w:hint="eastAsia"/>
          <w:sz w:val="24"/>
          <w:szCs w:val="24"/>
        </w:rPr>
        <w:t xml:space="preserve"> </w:t>
      </w:r>
      <w:r>
        <w:rPr>
          <w:rFonts w:ascii="仿宋" w:eastAsia="仿宋" w:hAnsi="仿宋" w:hint="eastAsia"/>
          <w:sz w:val="24"/>
          <w:highlight w:val="yellow"/>
        </w:rPr>
        <w:t>学院学科建设与研究生培养办公室进行材料初审，并提交学院研究生奖助金评审委员会确定一等学业奖学金学生名单后，在学院内公示</w:t>
      </w:r>
      <w:r>
        <w:rPr>
          <w:rFonts w:ascii="仿宋" w:eastAsia="仿宋" w:hAnsi="仿宋"/>
          <w:sz w:val="24"/>
          <w:highlight w:val="yellow"/>
        </w:rPr>
        <w:t>3</w:t>
      </w:r>
      <w:r>
        <w:rPr>
          <w:rFonts w:ascii="仿宋" w:eastAsia="仿宋" w:hAnsi="仿宋" w:hint="eastAsia"/>
          <w:sz w:val="24"/>
          <w:highlight w:val="yellow"/>
        </w:rPr>
        <w:t>个工作日，公示无异议后，再进行二等和三等学业奖学金的评选，结果再次提交学院研究生奖助金评审委员会审核，在学院内公示</w:t>
      </w:r>
      <w:r>
        <w:rPr>
          <w:rFonts w:ascii="仿宋" w:eastAsia="仿宋" w:hAnsi="仿宋" w:hint="eastAsia"/>
          <w:sz w:val="24"/>
          <w:highlight w:val="yellow"/>
        </w:rPr>
        <w:t>5</w:t>
      </w:r>
      <w:r>
        <w:rPr>
          <w:rFonts w:ascii="仿宋" w:eastAsia="仿宋" w:hAnsi="仿宋" w:hint="eastAsia"/>
          <w:sz w:val="24"/>
          <w:highlight w:val="yellow"/>
        </w:rPr>
        <w:t>个工作日后，提交学校研究生奖助学金评审领导小组审定。</w:t>
      </w:r>
    </w:p>
    <w:p w:rsidR="0031351E" w:rsidRDefault="00702909">
      <w:pPr>
        <w:adjustRightInd w:val="0"/>
        <w:snapToGrid w:val="0"/>
        <w:spacing w:line="360" w:lineRule="auto"/>
        <w:ind w:firstLineChars="196" w:firstLine="470"/>
        <w:jc w:val="left"/>
        <w:rPr>
          <w:rFonts w:ascii="仿宋" w:eastAsia="仿宋" w:hAnsi="仿宋"/>
          <w:sz w:val="24"/>
        </w:rPr>
      </w:pPr>
      <w:r>
        <w:rPr>
          <w:rFonts w:ascii="仿宋" w:eastAsia="仿宋" w:hAnsi="仿宋" w:hint="eastAsia"/>
          <w:sz w:val="24"/>
        </w:rPr>
        <w:t>第十六条</w:t>
      </w:r>
      <w:r>
        <w:rPr>
          <w:rFonts w:ascii="仿宋" w:eastAsia="仿宋" w:hAnsi="仿宋" w:hint="eastAsia"/>
          <w:sz w:val="24"/>
        </w:rPr>
        <w:t xml:space="preserve"> </w:t>
      </w:r>
      <w:r>
        <w:rPr>
          <w:rFonts w:ascii="仿宋" w:eastAsia="仿宋" w:hAnsi="仿宋" w:hint="eastAsia"/>
          <w:sz w:val="24"/>
        </w:rPr>
        <w:t>对研究生学业奖学金评审结果有异议的，可在学院公示阶段向所在学院评审委员会提出申诉，评审委员会会及时研究并予以答复。如对答复仍存在异议，可在学校公示阶段向学校研究生奖助学金评审领导小组提请裁决。</w:t>
      </w:r>
    </w:p>
    <w:p w:rsidR="0031351E" w:rsidRDefault="00702909">
      <w:pPr>
        <w:widowControl/>
        <w:jc w:val="center"/>
        <w:rPr>
          <w:rFonts w:ascii="仿宋" w:eastAsia="仿宋" w:hAnsi="仿宋"/>
          <w:sz w:val="28"/>
          <w:szCs w:val="28"/>
        </w:rPr>
      </w:pPr>
      <w:r>
        <w:rPr>
          <w:rFonts w:ascii="仿宋" w:eastAsia="仿宋" w:hAnsi="仿宋" w:hint="eastAsia"/>
          <w:sz w:val="28"/>
          <w:szCs w:val="28"/>
        </w:rPr>
        <w:t>第五章</w:t>
      </w:r>
      <w:r>
        <w:rPr>
          <w:rFonts w:ascii="仿宋" w:eastAsia="仿宋" w:hAnsi="仿宋"/>
          <w:sz w:val="28"/>
          <w:szCs w:val="28"/>
        </w:rPr>
        <w:t xml:space="preserve"> </w:t>
      </w:r>
      <w:r>
        <w:rPr>
          <w:rFonts w:ascii="仿宋" w:eastAsia="仿宋" w:hAnsi="仿宋" w:hint="eastAsia"/>
          <w:sz w:val="28"/>
          <w:szCs w:val="28"/>
        </w:rPr>
        <w:t>附</w:t>
      </w:r>
      <w:r>
        <w:rPr>
          <w:rFonts w:ascii="仿宋" w:eastAsia="仿宋" w:hAnsi="仿宋"/>
          <w:sz w:val="28"/>
          <w:szCs w:val="28"/>
        </w:rPr>
        <w:t xml:space="preserve"> </w:t>
      </w:r>
      <w:r>
        <w:rPr>
          <w:rFonts w:ascii="仿宋" w:eastAsia="仿宋" w:hAnsi="仿宋" w:hint="eastAsia"/>
          <w:sz w:val="28"/>
          <w:szCs w:val="28"/>
        </w:rPr>
        <w:t>则</w:t>
      </w:r>
    </w:p>
    <w:p w:rsidR="0031351E" w:rsidRDefault="00702909">
      <w:pPr>
        <w:adjustRightInd w:val="0"/>
        <w:snapToGrid w:val="0"/>
        <w:spacing w:line="360" w:lineRule="auto"/>
        <w:ind w:firstLineChars="196" w:firstLine="470"/>
        <w:rPr>
          <w:rFonts w:ascii="仿宋" w:eastAsia="仿宋" w:hAnsi="仿宋"/>
          <w:sz w:val="24"/>
        </w:rPr>
      </w:pPr>
      <w:r>
        <w:rPr>
          <w:rFonts w:ascii="仿宋" w:eastAsia="仿宋" w:hAnsi="仿宋" w:hint="eastAsia"/>
          <w:sz w:val="24"/>
        </w:rPr>
        <w:t>第十七条</w:t>
      </w:r>
      <w:r>
        <w:rPr>
          <w:rFonts w:ascii="仿宋" w:eastAsia="仿宋" w:hAnsi="仿宋" w:hint="eastAsia"/>
          <w:sz w:val="24"/>
        </w:rPr>
        <w:t xml:space="preserve"> </w:t>
      </w:r>
      <w:r>
        <w:rPr>
          <w:rFonts w:ascii="仿宋" w:eastAsia="仿宋" w:hAnsi="仿宋" w:hint="eastAsia"/>
          <w:sz w:val="24"/>
        </w:rPr>
        <w:t>本办法适用于</w:t>
      </w:r>
      <w:r>
        <w:rPr>
          <w:rFonts w:ascii="仿宋" w:eastAsia="仿宋" w:hAnsi="仿宋"/>
          <w:sz w:val="24"/>
        </w:rPr>
        <w:t>2014</w:t>
      </w:r>
      <w:r>
        <w:rPr>
          <w:rFonts w:ascii="仿宋" w:eastAsia="仿宋" w:hAnsi="仿宋" w:hint="eastAsia"/>
          <w:sz w:val="24"/>
        </w:rPr>
        <w:t>年</w:t>
      </w:r>
      <w:r>
        <w:rPr>
          <w:rFonts w:ascii="仿宋" w:eastAsia="仿宋" w:hAnsi="仿宋"/>
          <w:sz w:val="24"/>
        </w:rPr>
        <w:t>9</w:t>
      </w:r>
      <w:r>
        <w:rPr>
          <w:rFonts w:ascii="仿宋" w:eastAsia="仿宋" w:hAnsi="仿宋" w:hint="eastAsia"/>
          <w:sz w:val="24"/>
        </w:rPr>
        <w:t>月及以后入学的</w:t>
      </w:r>
      <w:r>
        <w:rPr>
          <w:rFonts w:ascii="仿宋" w:eastAsia="仿宋" w:hAnsi="仿宋"/>
          <w:sz w:val="24"/>
        </w:rPr>
        <w:t>全日制非定向研究生（含少数民族骨干</w:t>
      </w:r>
      <w:proofErr w:type="gramStart"/>
      <w:r>
        <w:rPr>
          <w:rFonts w:ascii="仿宋" w:eastAsia="仿宋" w:hAnsi="仿宋"/>
          <w:sz w:val="24"/>
        </w:rPr>
        <w:t>计划非</w:t>
      </w:r>
      <w:proofErr w:type="gramEnd"/>
      <w:r>
        <w:rPr>
          <w:rFonts w:ascii="仿宋" w:eastAsia="仿宋" w:hAnsi="仿宋"/>
          <w:sz w:val="24"/>
        </w:rPr>
        <w:t>在职定向就业研究生）</w:t>
      </w:r>
      <w:r>
        <w:rPr>
          <w:rFonts w:ascii="仿宋" w:eastAsia="仿宋" w:hAnsi="仿宋" w:hint="eastAsia"/>
          <w:sz w:val="24"/>
        </w:rPr>
        <w:t>，其他年级研究生的学业奖学金评定按原办法执行。</w:t>
      </w:r>
      <w:r>
        <w:rPr>
          <w:rFonts w:ascii="仿宋" w:eastAsia="仿宋" w:hAnsi="仿宋"/>
          <w:sz w:val="24"/>
        </w:rPr>
        <w:t xml:space="preserve"> </w:t>
      </w:r>
    </w:p>
    <w:p w:rsidR="0031351E" w:rsidRDefault="00702909">
      <w:pPr>
        <w:spacing w:line="360" w:lineRule="auto"/>
        <w:ind w:firstLine="480"/>
        <w:jc w:val="left"/>
        <w:rPr>
          <w:rFonts w:ascii="仿宋" w:eastAsia="仿宋" w:hAnsi="仿宋"/>
          <w:sz w:val="24"/>
        </w:rPr>
      </w:pPr>
      <w:r>
        <w:rPr>
          <w:rFonts w:ascii="仿宋" w:eastAsia="仿宋" w:hAnsi="仿宋" w:hint="eastAsia"/>
          <w:sz w:val="24"/>
        </w:rPr>
        <w:lastRenderedPageBreak/>
        <w:t>第十八条</w:t>
      </w:r>
      <w:r>
        <w:rPr>
          <w:rFonts w:ascii="仿宋" w:eastAsia="仿宋" w:hAnsi="仿宋" w:hint="eastAsia"/>
          <w:sz w:val="24"/>
        </w:rPr>
        <w:t xml:space="preserve"> </w:t>
      </w:r>
      <w:r>
        <w:rPr>
          <w:rFonts w:ascii="仿宋" w:eastAsia="仿宋" w:hAnsi="仿宋" w:hint="eastAsia"/>
          <w:sz w:val="24"/>
        </w:rPr>
        <w:t>本办法自发布之日起开始执行。</w:t>
      </w:r>
    </w:p>
    <w:p w:rsidR="0031351E" w:rsidRDefault="00702909">
      <w:pPr>
        <w:spacing w:line="360" w:lineRule="auto"/>
        <w:ind w:firstLine="480"/>
        <w:jc w:val="left"/>
        <w:rPr>
          <w:rFonts w:ascii="仿宋" w:eastAsia="仿宋" w:hAnsi="仿宋"/>
          <w:sz w:val="24"/>
        </w:rPr>
      </w:pPr>
      <w:r>
        <w:rPr>
          <w:rFonts w:ascii="仿宋" w:eastAsia="仿宋" w:hAnsi="仿宋" w:hint="eastAsia"/>
          <w:sz w:val="24"/>
        </w:rPr>
        <w:t>第十九条</w:t>
      </w:r>
      <w:r>
        <w:rPr>
          <w:rFonts w:ascii="仿宋" w:eastAsia="仿宋" w:hAnsi="仿宋" w:hint="eastAsia"/>
          <w:sz w:val="24"/>
        </w:rPr>
        <w:t xml:space="preserve"> </w:t>
      </w:r>
      <w:r>
        <w:rPr>
          <w:rFonts w:ascii="仿宋" w:eastAsia="仿宋" w:hAnsi="仿宋" w:hint="eastAsia"/>
          <w:sz w:val="24"/>
        </w:rPr>
        <w:t>本办法由经济学院学科建设与研究生培养办公室负责解释。</w:t>
      </w:r>
    </w:p>
    <w:p w:rsidR="0031351E" w:rsidRDefault="0031351E">
      <w:pPr>
        <w:spacing w:line="360" w:lineRule="auto"/>
        <w:ind w:firstLine="480"/>
        <w:jc w:val="left"/>
        <w:rPr>
          <w:rFonts w:ascii="仿宋" w:eastAsia="仿宋" w:hAnsi="仿宋"/>
          <w:sz w:val="24"/>
        </w:rPr>
      </w:pPr>
    </w:p>
    <w:p w:rsidR="0031351E" w:rsidRDefault="00702909">
      <w:pPr>
        <w:spacing w:line="360" w:lineRule="auto"/>
        <w:ind w:right="460" w:firstLine="480"/>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经济学院</w:t>
      </w:r>
    </w:p>
    <w:p w:rsidR="0031351E" w:rsidRDefault="00702909">
      <w:pPr>
        <w:spacing w:line="360" w:lineRule="auto"/>
        <w:ind w:right="460" w:firstLine="480"/>
        <w:jc w:val="right"/>
        <w:rPr>
          <w:rFonts w:ascii="仿宋" w:eastAsia="仿宋" w:hAnsi="仿宋"/>
          <w:sz w:val="24"/>
        </w:rPr>
      </w:pPr>
      <w:r>
        <w:rPr>
          <w:rFonts w:ascii="仿宋" w:eastAsia="仿宋" w:hAnsi="仿宋" w:hint="eastAsia"/>
          <w:sz w:val="24"/>
        </w:rPr>
        <w:t>201</w:t>
      </w:r>
      <w:r>
        <w:rPr>
          <w:rFonts w:ascii="仿宋" w:eastAsia="仿宋" w:hAnsi="仿宋" w:hint="eastAsia"/>
          <w:sz w:val="24"/>
        </w:rPr>
        <w:t>9</w:t>
      </w:r>
      <w:r>
        <w:rPr>
          <w:rFonts w:ascii="仿宋" w:eastAsia="仿宋" w:hAnsi="仿宋" w:hint="eastAsia"/>
          <w:sz w:val="24"/>
        </w:rPr>
        <w:t>.</w:t>
      </w:r>
      <w:r>
        <w:rPr>
          <w:rFonts w:ascii="仿宋" w:eastAsia="仿宋" w:hAnsi="仿宋"/>
          <w:sz w:val="24"/>
        </w:rPr>
        <w:t>11</w:t>
      </w:r>
      <w:r>
        <w:rPr>
          <w:rFonts w:ascii="仿宋" w:eastAsia="仿宋" w:hAnsi="仿宋" w:hint="eastAsia"/>
          <w:sz w:val="24"/>
        </w:rPr>
        <w:t>.</w:t>
      </w:r>
      <w:r>
        <w:rPr>
          <w:rFonts w:ascii="仿宋" w:eastAsia="仿宋" w:hAnsi="仿宋"/>
          <w:sz w:val="24"/>
        </w:rPr>
        <w:t>1</w:t>
      </w:r>
    </w:p>
    <w:sectPr w:rsidR="00313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39"/>
    <w:rsid w:val="00021080"/>
    <w:rsid w:val="00023E63"/>
    <w:rsid w:val="00025621"/>
    <w:rsid w:val="0002608F"/>
    <w:rsid w:val="00030B63"/>
    <w:rsid w:val="000427BF"/>
    <w:rsid w:val="000427EC"/>
    <w:rsid w:val="000541CB"/>
    <w:rsid w:val="00055A5C"/>
    <w:rsid w:val="00063B94"/>
    <w:rsid w:val="00066071"/>
    <w:rsid w:val="000710C4"/>
    <w:rsid w:val="00072E72"/>
    <w:rsid w:val="00075114"/>
    <w:rsid w:val="00077E94"/>
    <w:rsid w:val="000812B3"/>
    <w:rsid w:val="00086534"/>
    <w:rsid w:val="000912C0"/>
    <w:rsid w:val="000A3B38"/>
    <w:rsid w:val="000A72CB"/>
    <w:rsid w:val="000A7DBF"/>
    <w:rsid w:val="000B5934"/>
    <w:rsid w:val="000C67D2"/>
    <w:rsid w:val="000E7B6B"/>
    <w:rsid w:val="000F07A6"/>
    <w:rsid w:val="000F0B16"/>
    <w:rsid w:val="000F1C8D"/>
    <w:rsid w:val="0011479D"/>
    <w:rsid w:val="00116921"/>
    <w:rsid w:val="001222DB"/>
    <w:rsid w:val="0012311E"/>
    <w:rsid w:val="00127051"/>
    <w:rsid w:val="0013024D"/>
    <w:rsid w:val="00130512"/>
    <w:rsid w:val="00130C4A"/>
    <w:rsid w:val="00134FFA"/>
    <w:rsid w:val="00143E95"/>
    <w:rsid w:val="00161382"/>
    <w:rsid w:val="00162EA7"/>
    <w:rsid w:val="00167E25"/>
    <w:rsid w:val="00171CB8"/>
    <w:rsid w:val="00175AEC"/>
    <w:rsid w:val="0017680A"/>
    <w:rsid w:val="001775FF"/>
    <w:rsid w:val="00190DBD"/>
    <w:rsid w:val="00192219"/>
    <w:rsid w:val="001A594A"/>
    <w:rsid w:val="001A683C"/>
    <w:rsid w:val="001B28FA"/>
    <w:rsid w:val="001B43B5"/>
    <w:rsid w:val="001B61B6"/>
    <w:rsid w:val="001C0680"/>
    <w:rsid w:val="001C29E3"/>
    <w:rsid w:val="001D609D"/>
    <w:rsid w:val="001E09C8"/>
    <w:rsid w:val="001E3040"/>
    <w:rsid w:val="001F4731"/>
    <w:rsid w:val="0020456E"/>
    <w:rsid w:val="002056C6"/>
    <w:rsid w:val="00206C2B"/>
    <w:rsid w:val="00224387"/>
    <w:rsid w:val="00233219"/>
    <w:rsid w:val="00240394"/>
    <w:rsid w:val="002421B7"/>
    <w:rsid w:val="0025630A"/>
    <w:rsid w:val="002570AE"/>
    <w:rsid w:val="00260F17"/>
    <w:rsid w:val="00262AC6"/>
    <w:rsid w:val="0026304C"/>
    <w:rsid w:val="00267E22"/>
    <w:rsid w:val="00271EFB"/>
    <w:rsid w:val="002742DA"/>
    <w:rsid w:val="0027651B"/>
    <w:rsid w:val="00281B18"/>
    <w:rsid w:val="002826BE"/>
    <w:rsid w:val="00282E1F"/>
    <w:rsid w:val="002965D8"/>
    <w:rsid w:val="002A6231"/>
    <w:rsid w:val="002B2D04"/>
    <w:rsid w:val="002B5634"/>
    <w:rsid w:val="002C2784"/>
    <w:rsid w:val="002D50F8"/>
    <w:rsid w:val="002D754F"/>
    <w:rsid w:val="002E3FDC"/>
    <w:rsid w:val="002F253D"/>
    <w:rsid w:val="002F72CE"/>
    <w:rsid w:val="0031351E"/>
    <w:rsid w:val="00313C19"/>
    <w:rsid w:val="00320A87"/>
    <w:rsid w:val="00326957"/>
    <w:rsid w:val="003348D8"/>
    <w:rsid w:val="00335320"/>
    <w:rsid w:val="00336C7D"/>
    <w:rsid w:val="0034096D"/>
    <w:rsid w:val="00343614"/>
    <w:rsid w:val="00347EC5"/>
    <w:rsid w:val="003505A9"/>
    <w:rsid w:val="00355867"/>
    <w:rsid w:val="00355D4B"/>
    <w:rsid w:val="00357983"/>
    <w:rsid w:val="003602BB"/>
    <w:rsid w:val="00361025"/>
    <w:rsid w:val="003628BC"/>
    <w:rsid w:val="003706D5"/>
    <w:rsid w:val="003709AB"/>
    <w:rsid w:val="00376EC1"/>
    <w:rsid w:val="00381FB4"/>
    <w:rsid w:val="003856EE"/>
    <w:rsid w:val="00391DA8"/>
    <w:rsid w:val="00392161"/>
    <w:rsid w:val="003A3D72"/>
    <w:rsid w:val="003A4B6C"/>
    <w:rsid w:val="003A4EED"/>
    <w:rsid w:val="003A7CE3"/>
    <w:rsid w:val="003B2F11"/>
    <w:rsid w:val="003B43BC"/>
    <w:rsid w:val="003B47CD"/>
    <w:rsid w:val="003D769D"/>
    <w:rsid w:val="003E2F94"/>
    <w:rsid w:val="003E7925"/>
    <w:rsid w:val="003F401A"/>
    <w:rsid w:val="00400439"/>
    <w:rsid w:val="004053CD"/>
    <w:rsid w:val="0040567A"/>
    <w:rsid w:val="00412955"/>
    <w:rsid w:val="004302E5"/>
    <w:rsid w:val="00434754"/>
    <w:rsid w:val="004352B2"/>
    <w:rsid w:val="004375F8"/>
    <w:rsid w:val="00440AE0"/>
    <w:rsid w:val="00453D40"/>
    <w:rsid w:val="00455A68"/>
    <w:rsid w:val="004605A4"/>
    <w:rsid w:val="00467B68"/>
    <w:rsid w:val="00475E0C"/>
    <w:rsid w:val="0048192A"/>
    <w:rsid w:val="00484D9D"/>
    <w:rsid w:val="004932C9"/>
    <w:rsid w:val="004B1097"/>
    <w:rsid w:val="004B3435"/>
    <w:rsid w:val="004C2474"/>
    <w:rsid w:val="004C3DC1"/>
    <w:rsid w:val="004D5562"/>
    <w:rsid w:val="004D689D"/>
    <w:rsid w:val="004E2228"/>
    <w:rsid w:val="004E3FE4"/>
    <w:rsid w:val="004F062D"/>
    <w:rsid w:val="004F3373"/>
    <w:rsid w:val="005036C9"/>
    <w:rsid w:val="0050382F"/>
    <w:rsid w:val="00520697"/>
    <w:rsid w:val="005278D5"/>
    <w:rsid w:val="005346A1"/>
    <w:rsid w:val="00551EF0"/>
    <w:rsid w:val="00566080"/>
    <w:rsid w:val="005714BA"/>
    <w:rsid w:val="0057282B"/>
    <w:rsid w:val="00583DC5"/>
    <w:rsid w:val="00593EF2"/>
    <w:rsid w:val="005A1CE2"/>
    <w:rsid w:val="005A1D69"/>
    <w:rsid w:val="005B3331"/>
    <w:rsid w:val="005B64FB"/>
    <w:rsid w:val="005C2025"/>
    <w:rsid w:val="005C2D6E"/>
    <w:rsid w:val="005E3C1F"/>
    <w:rsid w:val="005F1EEF"/>
    <w:rsid w:val="005F2FED"/>
    <w:rsid w:val="005F69DD"/>
    <w:rsid w:val="005F7CA2"/>
    <w:rsid w:val="00602C43"/>
    <w:rsid w:val="0060548B"/>
    <w:rsid w:val="00621572"/>
    <w:rsid w:val="00622F79"/>
    <w:rsid w:val="0064224E"/>
    <w:rsid w:val="00645CEE"/>
    <w:rsid w:val="00646F60"/>
    <w:rsid w:val="006502CF"/>
    <w:rsid w:val="00651B6C"/>
    <w:rsid w:val="00666AF4"/>
    <w:rsid w:val="006716A4"/>
    <w:rsid w:val="00675B2B"/>
    <w:rsid w:val="00684F2A"/>
    <w:rsid w:val="00693396"/>
    <w:rsid w:val="00693B3B"/>
    <w:rsid w:val="006A7BE5"/>
    <w:rsid w:val="006B5808"/>
    <w:rsid w:val="006C01F4"/>
    <w:rsid w:val="006C6B85"/>
    <w:rsid w:val="006D2639"/>
    <w:rsid w:val="006E6E64"/>
    <w:rsid w:val="006F1358"/>
    <w:rsid w:val="006F672A"/>
    <w:rsid w:val="007011B0"/>
    <w:rsid w:val="00702909"/>
    <w:rsid w:val="00703A13"/>
    <w:rsid w:val="007123E7"/>
    <w:rsid w:val="00712E4F"/>
    <w:rsid w:val="00714DB3"/>
    <w:rsid w:val="00727CC1"/>
    <w:rsid w:val="007302AC"/>
    <w:rsid w:val="00730D22"/>
    <w:rsid w:val="007333A6"/>
    <w:rsid w:val="00733CBB"/>
    <w:rsid w:val="007354AA"/>
    <w:rsid w:val="00735F44"/>
    <w:rsid w:val="00740572"/>
    <w:rsid w:val="00747ED9"/>
    <w:rsid w:val="00753F0C"/>
    <w:rsid w:val="00756E28"/>
    <w:rsid w:val="0076345D"/>
    <w:rsid w:val="00764495"/>
    <w:rsid w:val="00770BFB"/>
    <w:rsid w:val="007902E1"/>
    <w:rsid w:val="007903C0"/>
    <w:rsid w:val="00794E8D"/>
    <w:rsid w:val="007A144E"/>
    <w:rsid w:val="007A28FD"/>
    <w:rsid w:val="007A6B2D"/>
    <w:rsid w:val="007C14D2"/>
    <w:rsid w:val="007C700C"/>
    <w:rsid w:val="007C7949"/>
    <w:rsid w:val="007D20FA"/>
    <w:rsid w:val="007D22A3"/>
    <w:rsid w:val="007E1FDA"/>
    <w:rsid w:val="007E5AD2"/>
    <w:rsid w:val="007F28B4"/>
    <w:rsid w:val="007F2CC0"/>
    <w:rsid w:val="00801700"/>
    <w:rsid w:val="0081526B"/>
    <w:rsid w:val="008160A1"/>
    <w:rsid w:val="008209A1"/>
    <w:rsid w:val="008240A4"/>
    <w:rsid w:val="00824EDE"/>
    <w:rsid w:val="008318F4"/>
    <w:rsid w:val="00833FB2"/>
    <w:rsid w:val="00835EEE"/>
    <w:rsid w:val="00837DEC"/>
    <w:rsid w:val="00850276"/>
    <w:rsid w:val="008510A4"/>
    <w:rsid w:val="00855F44"/>
    <w:rsid w:val="00856481"/>
    <w:rsid w:val="00866B6D"/>
    <w:rsid w:val="00873672"/>
    <w:rsid w:val="00877FBB"/>
    <w:rsid w:val="00886636"/>
    <w:rsid w:val="008921B4"/>
    <w:rsid w:val="00894C29"/>
    <w:rsid w:val="008A2056"/>
    <w:rsid w:val="008A240D"/>
    <w:rsid w:val="008A6629"/>
    <w:rsid w:val="008A69A9"/>
    <w:rsid w:val="008B1504"/>
    <w:rsid w:val="008B4C26"/>
    <w:rsid w:val="008B6AD0"/>
    <w:rsid w:val="008D3081"/>
    <w:rsid w:val="008D338F"/>
    <w:rsid w:val="008E01A1"/>
    <w:rsid w:val="008E130F"/>
    <w:rsid w:val="008E6A97"/>
    <w:rsid w:val="008F282A"/>
    <w:rsid w:val="008F72E5"/>
    <w:rsid w:val="0091076B"/>
    <w:rsid w:val="0091652D"/>
    <w:rsid w:val="00917154"/>
    <w:rsid w:val="00921B49"/>
    <w:rsid w:val="00934224"/>
    <w:rsid w:val="00937A3D"/>
    <w:rsid w:val="009404C6"/>
    <w:rsid w:val="009471EF"/>
    <w:rsid w:val="009479E8"/>
    <w:rsid w:val="00951640"/>
    <w:rsid w:val="009532BB"/>
    <w:rsid w:val="00957663"/>
    <w:rsid w:val="00974A6A"/>
    <w:rsid w:val="00983037"/>
    <w:rsid w:val="00991494"/>
    <w:rsid w:val="009936C0"/>
    <w:rsid w:val="00993BDB"/>
    <w:rsid w:val="00994E1E"/>
    <w:rsid w:val="009A0405"/>
    <w:rsid w:val="009A2467"/>
    <w:rsid w:val="009B1EE9"/>
    <w:rsid w:val="009B315B"/>
    <w:rsid w:val="009E1139"/>
    <w:rsid w:val="009E3E3E"/>
    <w:rsid w:val="009E4D0E"/>
    <w:rsid w:val="009F0FD1"/>
    <w:rsid w:val="009F1EAE"/>
    <w:rsid w:val="009F33CA"/>
    <w:rsid w:val="00A00705"/>
    <w:rsid w:val="00A03184"/>
    <w:rsid w:val="00A03E02"/>
    <w:rsid w:val="00A15C9C"/>
    <w:rsid w:val="00A21D6C"/>
    <w:rsid w:val="00A41E70"/>
    <w:rsid w:val="00A431D9"/>
    <w:rsid w:val="00A44082"/>
    <w:rsid w:val="00A63123"/>
    <w:rsid w:val="00A65A3E"/>
    <w:rsid w:val="00A662D7"/>
    <w:rsid w:val="00A67D95"/>
    <w:rsid w:val="00A71C86"/>
    <w:rsid w:val="00A85B20"/>
    <w:rsid w:val="00A87BEA"/>
    <w:rsid w:val="00AA0AC5"/>
    <w:rsid w:val="00AA43C5"/>
    <w:rsid w:val="00AB07A8"/>
    <w:rsid w:val="00AB276D"/>
    <w:rsid w:val="00AC4A9D"/>
    <w:rsid w:val="00AD51DD"/>
    <w:rsid w:val="00AE6854"/>
    <w:rsid w:val="00AF6632"/>
    <w:rsid w:val="00AF7AC6"/>
    <w:rsid w:val="00B02483"/>
    <w:rsid w:val="00B05D3A"/>
    <w:rsid w:val="00B11F54"/>
    <w:rsid w:val="00B13FE7"/>
    <w:rsid w:val="00B1531D"/>
    <w:rsid w:val="00B178C7"/>
    <w:rsid w:val="00B25333"/>
    <w:rsid w:val="00B32A7B"/>
    <w:rsid w:val="00B41376"/>
    <w:rsid w:val="00B4190D"/>
    <w:rsid w:val="00B5611B"/>
    <w:rsid w:val="00B61527"/>
    <w:rsid w:val="00B6281A"/>
    <w:rsid w:val="00B67C01"/>
    <w:rsid w:val="00B74A0C"/>
    <w:rsid w:val="00B75F0E"/>
    <w:rsid w:val="00B82F87"/>
    <w:rsid w:val="00B844FF"/>
    <w:rsid w:val="00B8530F"/>
    <w:rsid w:val="00B87A0F"/>
    <w:rsid w:val="00B9650C"/>
    <w:rsid w:val="00BA3B14"/>
    <w:rsid w:val="00BB194E"/>
    <w:rsid w:val="00BD1864"/>
    <w:rsid w:val="00BD7F48"/>
    <w:rsid w:val="00BE4E31"/>
    <w:rsid w:val="00BE55D1"/>
    <w:rsid w:val="00C013BE"/>
    <w:rsid w:val="00C02CFE"/>
    <w:rsid w:val="00C03B1E"/>
    <w:rsid w:val="00C0592F"/>
    <w:rsid w:val="00C15629"/>
    <w:rsid w:val="00C22F58"/>
    <w:rsid w:val="00C235AE"/>
    <w:rsid w:val="00C271DB"/>
    <w:rsid w:val="00C27BCA"/>
    <w:rsid w:val="00C302DF"/>
    <w:rsid w:val="00C44A67"/>
    <w:rsid w:val="00C44B2E"/>
    <w:rsid w:val="00C50A36"/>
    <w:rsid w:val="00C529B0"/>
    <w:rsid w:val="00C5537A"/>
    <w:rsid w:val="00C65374"/>
    <w:rsid w:val="00C74386"/>
    <w:rsid w:val="00C808BB"/>
    <w:rsid w:val="00C80ED0"/>
    <w:rsid w:val="00C94F05"/>
    <w:rsid w:val="00C9595F"/>
    <w:rsid w:val="00C95971"/>
    <w:rsid w:val="00C95D74"/>
    <w:rsid w:val="00CA1286"/>
    <w:rsid w:val="00CB0A5F"/>
    <w:rsid w:val="00CC04BD"/>
    <w:rsid w:val="00CC2E74"/>
    <w:rsid w:val="00CD767E"/>
    <w:rsid w:val="00CD7950"/>
    <w:rsid w:val="00CE2093"/>
    <w:rsid w:val="00CE48D8"/>
    <w:rsid w:val="00CE6E27"/>
    <w:rsid w:val="00CE7AFF"/>
    <w:rsid w:val="00CF0CC0"/>
    <w:rsid w:val="00CF5433"/>
    <w:rsid w:val="00D03CA0"/>
    <w:rsid w:val="00D12184"/>
    <w:rsid w:val="00D2384D"/>
    <w:rsid w:val="00D2787C"/>
    <w:rsid w:val="00D4099C"/>
    <w:rsid w:val="00D46F1A"/>
    <w:rsid w:val="00D64643"/>
    <w:rsid w:val="00D678ED"/>
    <w:rsid w:val="00D7129B"/>
    <w:rsid w:val="00D72DA2"/>
    <w:rsid w:val="00D73499"/>
    <w:rsid w:val="00D82236"/>
    <w:rsid w:val="00D93183"/>
    <w:rsid w:val="00D954DF"/>
    <w:rsid w:val="00D95C25"/>
    <w:rsid w:val="00D96277"/>
    <w:rsid w:val="00D96B89"/>
    <w:rsid w:val="00DA1E4D"/>
    <w:rsid w:val="00DC4C55"/>
    <w:rsid w:val="00DD48C5"/>
    <w:rsid w:val="00DE59D1"/>
    <w:rsid w:val="00DE68BA"/>
    <w:rsid w:val="00DF35B0"/>
    <w:rsid w:val="00DF6500"/>
    <w:rsid w:val="00E0041B"/>
    <w:rsid w:val="00E0315B"/>
    <w:rsid w:val="00E106CC"/>
    <w:rsid w:val="00E108B0"/>
    <w:rsid w:val="00E11003"/>
    <w:rsid w:val="00E22726"/>
    <w:rsid w:val="00E241F6"/>
    <w:rsid w:val="00E25B59"/>
    <w:rsid w:val="00E25DEC"/>
    <w:rsid w:val="00E2668D"/>
    <w:rsid w:val="00E27CAF"/>
    <w:rsid w:val="00E32C1C"/>
    <w:rsid w:val="00E34F3B"/>
    <w:rsid w:val="00E36FA2"/>
    <w:rsid w:val="00E41792"/>
    <w:rsid w:val="00E430A1"/>
    <w:rsid w:val="00E437E6"/>
    <w:rsid w:val="00E43BED"/>
    <w:rsid w:val="00E47E35"/>
    <w:rsid w:val="00E50F63"/>
    <w:rsid w:val="00E57449"/>
    <w:rsid w:val="00E57D9C"/>
    <w:rsid w:val="00E6142D"/>
    <w:rsid w:val="00E61C1D"/>
    <w:rsid w:val="00E63459"/>
    <w:rsid w:val="00E667EB"/>
    <w:rsid w:val="00E678CC"/>
    <w:rsid w:val="00E80EA4"/>
    <w:rsid w:val="00E82237"/>
    <w:rsid w:val="00E827A8"/>
    <w:rsid w:val="00E8292E"/>
    <w:rsid w:val="00E83830"/>
    <w:rsid w:val="00E87AEA"/>
    <w:rsid w:val="00EA375B"/>
    <w:rsid w:val="00EB2CE9"/>
    <w:rsid w:val="00EB4A77"/>
    <w:rsid w:val="00EC02CD"/>
    <w:rsid w:val="00EC2676"/>
    <w:rsid w:val="00EC2689"/>
    <w:rsid w:val="00EC2DEF"/>
    <w:rsid w:val="00EC3481"/>
    <w:rsid w:val="00EC4745"/>
    <w:rsid w:val="00EC6CA0"/>
    <w:rsid w:val="00EE6822"/>
    <w:rsid w:val="00EF2CFF"/>
    <w:rsid w:val="00EF3433"/>
    <w:rsid w:val="00EF3B4A"/>
    <w:rsid w:val="00F03993"/>
    <w:rsid w:val="00F0507D"/>
    <w:rsid w:val="00F12A81"/>
    <w:rsid w:val="00F20BB7"/>
    <w:rsid w:val="00F2564D"/>
    <w:rsid w:val="00F26B3F"/>
    <w:rsid w:val="00F279CD"/>
    <w:rsid w:val="00F4451E"/>
    <w:rsid w:val="00F45C77"/>
    <w:rsid w:val="00F45D91"/>
    <w:rsid w:val="00F53C57"/>
    <w:rsid w:val="00F5456C"/>
    <w:rsid w:val="00F55BA0"/>
    <w:rsid w:val="00F63135"/>
    <w:rsid w:val="00F63788"/>
    <w:rsid w:val="00F7344D"/>
    <w:rsid w:val="00F83528"/>
    <w:rsid w:val="00F91610"/>
    <w:rsid w:val="00F93860"/>
    <w:rsid w:val="00FB02B6"/>
    <w:rsid w:val="00FB288D"/>
    <w:rsid w:val="00FB29C1"/>
    <w:rsid w:val="00FB4B18"/>
    <w:rsid w:val="00FC0522"/>
    <w:rsid w:val="00FC1EF7"/>
    <w:rsid w:val="00FC6A47"/>
    <w:rsid w:val="00FC73F8"/>
    <w:rsid w:val="00FD1D76"/>
    <w:rsid w:val="00FD2D79"/>
    <w:rsid w:val="00FE0889"/>
    <w:rsid w:val="00FE0CA4"/>
    <w:rsid w:val="00FE549E"/>
    <w:rsid w:val="00FE584F"/>
    <w:rsid w:val="00FF2BB1"/>
    <w:rsid w:val="00FF3589"/>
    <w:rsid w:val="0DFC486C"/>
    <w:rsid w:val="11F62C13"/>
    <w:rsid w:val="26B003F5"/>
    <w:rsid w:val="2FDD57DC"/>
    <w:rsid w:val="37EF792C"/>
    <w:rsid w:val="3BA436D0"/>
    <w:rsid w:val="4FB42C57"/>
    <w:rsid w:val="51122F01"/>
    <w:rsid w:val="58752239"/>
    <w:rsid w:val="593D5C09"/>
    <w:rsid w:val="6DB70C34"/>
    <w:rsid w:val="72BA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683F"/>
  <w15:docId w15:val="{B23CA81D-7EDF-4C1A-9F6F-07C4D63D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黑体" w:eastAsia="黑体" w:hAnsiTheme="minorHAnsi" w:cs="黑体"/>
      <w:color w:val="000000"/>
      <w:sz w:val="24"/>
      <w:szCs w:val="24"/>
    </w:rPr>
  </w:style>
  <w:style w:type="character" w:customStyle="1" w:styleId="a9">
    <w:name w:val="正文文本_"/>
    <w:basedOn w:val="a0"/>
    <w:link w:val="1"/>
    <w:rPr>
      <w:rFonts w:ascii="MingLiU" w:eastAsia="MingLiU" w:hAnsi="MingLiU" w:cs="MingLiU"/>
      <w:spacing w:val="30"/>
      <w:sz w:val="29"/>
      <w:szCs w:val="29"/>
      <w:shd w:val="clear" w:color="auto" w:fill="FFFFFF"/>
    </w:rPr>
  </w:style>
  <w:style w:type="paragraph" w:customStyle="1" w:styleId="1">
    <w:name w:val="正文文本1"/>
    <w:basedOn w:val="a"/>
    <w:link w:val="a9"/>
    <w:pPr>
      <w:shd w:val="clear" w:color="auto" w:fill="FFFFFF"/>
      <w:spacing w:before="540" w:line="590" w:lineRule="exact"/>
      <w:jc w:val="left"/>
    </w:pPr>
    <w:rPr>
      <w:rFonts w:ascii="MingLiU" w:eastAsia="MingLiU" w:hAnsi="MingLiU" w:cs="MingLiU"/>
      <w:spacing w:val="30"/>
      <w:sz w:val="29"/>
      <w:szCs w:val="29"/>
    </w:rPr>
  </w:style>
  <w:style w:type="character" w:customStyle="1" w:styleId="125pt">
    <w:name w:val="正文文本 + 12.5 pt"/>
    <w:basedOn w:val="a9"/>
    <w:qFormat/>
    <w:rPr>
      <w:rFonts w:ascii="MingLiU" w:eastAsia="MingLiU" w:hAnsi="MingLiU" w:cs="MingLiU"/>
      <w:color w:val="000000"/>
      <w:spacing w:val="30"/>
      <w:w w:val="100"/>
      <w:position w:val="0"/>
      <w:sz w:val="25"/>
      <w:szCs w:val="25"/>
      <w:shd w:val="clear" w:color="auto" w:fill="FFFFFF"/>
      <w:lang w:val="zh-TW"/>
    </w:rPr>
  </w:style>
  <w:style w:type="character" w:customStyle="1" w:styleId="115pt">
    <w:name w:val="正文文本 + 11.5 pt"/>
    <w:basedOn w:val="a9"/>
    <w:rPr>
      <w:rFonts w:ascii="MingLiU" w:eastAsia="MingLiU" w:hAnsi="MingLiU" w:cs="MingLiU"/>
      <w:color w:val="000000"/>
      <w:spacing w:val="30"/>
      <w:w w:val="100"/>
      <w:position w:val="0"/>
      <w:sz w:val="23"/>
      <w:szCs w:val="23"/>
      <w:shd w:val="clear" w:color="auto" w:fill="FFFFFF"/>
      <w:lang w:val="zh-TW"/>
    </w:rPr>
  </w:style>
  <w:style w:type="character" w:customStyle="1" w:styleId="MSMincho">
    <w:name w:val="正文文本 + MS Mincho"/>
    <w:basedOn w:val="a9"/>
    <w:rPr>
      <w:rFonts w:ascii="MS Mincho" w:eastAsia="MS Mincho" w:hAnsi="MS Mincho" w:cs="MS Mincho"/>
      <w:color w:val="000000"/>
      <w:spacing w:val="0"/>
      <w:w w:val="100"/>
      <w:position w:val="0"/>
      <w:sz w:val="26"/>
      <w:szCs w:val="26"/>
      <w:shd w:val="clear" w:color="auto" w:fill="FFFFFF"/>
      <w:lang w:val="zh-TW"/>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469</Words>
  <Characters>2678</Characters>
  <Application>Microsoft Office Word</Application>
  <DocSecurity>0</DocSecurity>
  <Lines>22</Lines>
  <Paragraphs>6</Paragraphs>
  <ScaleCrop>false</ScaleCrop>
  <Company>JNU</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未定义</cp:lastModifiedBy>
  <cp:revision>8</cp:revision>
  <dcterms:created xsi:type="dcterms:W3CDTF">2019-10-31T03:07:00Z</dcterms:created>
  <dcterms:modified xsi:type="dcterms:W3CDTF">2019-11-01T00:48:00Z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